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D8356" w14:textId="51D78D73" w:rsidR="008D3B83" w:rsidRDefault="002831D4" w:rsidP="008D3B83">
      <w:pPr>
        <w:pStyle w:val="Heading4"/>
        <w:jc w:val="center"/>
        <w:rPr>
          <w:rFonts w:asciiTheme="minorHAnsi" w:hAnsiTheme="minorHAnsi" w:cs="Segoe UI"/>
          <w:b/>
          <w:bCs/>
          <w:color w:val="333333"/>
          <w:szCs w:val="21"/>
          <w:shd w:val="clear" w:color="auto" w:fill="FFFFFF"/>
        </w:rPr>
      </w:pPr>
      <w:r>
        <w:rPr>
          <w:rFonts w:asciiTheme="minorHAnsi" w:hAnsiTheme="minorHAnsi" w:cs="Segoe UI"/>
          <w:b/>
          <w:bCs/>
          <w:color w:val="333333"/>
          <w:szCs w:val="21"/>
          <w:shd w:val="clear" w:color="auto" w:fill="FFFFFF"/>
        </w:rPr>
        <w:t>FSR A</w:t>
      </w:r>
      <w:r w:rsidR="000627EA">
        <w:rPr>
          <w:rFonts w:asciiTheme="minorHAnsi" w:hAnsiTheme="minorHAnsi" w:cs="Segoe UI"/>
          <w:b/>
          <w:bCs/>
          <w:color w:val="333333"/>
          <w:szCs w:val="21"/>
          <w:shd w:val="clear" w:color="auto" w:fill="FFFFFF"/>
        </w:rPr>
        <w:t>nnex</w:t>
      </w:r>
      <w:r w:rsidR="008D3B83">
        <w:rPr>
          <w:rFonts w:asciiTheme="minorHAnsi" w:hAnsiTheme="minorHAnsi" w:cs="Segoe UI"/>
          <w:b/>
          <w:bCs/>
          <w:color w:val="333333"/>
          <w:szCs w:val="21"/>
          <w:shd w:val="clear" w:color="auto" w:fill="FFFFFF"/>
        </w:rPr>
        <w:t xml:space="preserve"> </w:t>
      </w:r>
    </w:p>
    <w:p w14:paraId="318B6C72" w14:textId="4ABC5CC4" w:rsidR="00B458C7" w:rsidRPr="006B2825" w:rsidRDefault="00D51629" w:rsidP="00B458C7">
      <w:pPr>
        <w:pStyle w:val="Heading4"/>
        <w:jc w:val="center"/>
        <w:rPr>
          <w:rFonts w:asciiTheme="minorHAnsi" w:hAnsiTheme="minorHAnsi" w:cs="Segoe UI"/>
          <w:b/>
          <w:bCs/>
          <w:color w:val="333333"/>
          <w:szCs w:val="21"/>
          <w:shd w:val="clear" w:color="auto" w:fill="FFFFFF"/>
        </w:rPr>
      </w:pPr>
      <w:r>
        <w:rPr>
          <w:rFonts w:asciiTheme="minorHAnsi" w:hAnsiTheme="minorHAnsi" w:cs="Segoe UI"/>
          <w:b/>
          <w:bCs/>
          <w:color w:val="333333"/>
          <w:szCs w:val="21"/>
          <w:shd w:val="clear" w:color="auto" w:fill="FFFFFF"/>
        </w:rPr>
        <w:t xml:space="preserve">regarding the </w:t>
      </w:r>
      <w:bookmarkStart w:id="0" w:name="_Addendum_B"/>
      <w:bookmarkEnd w:id="0"/>
      <w:r>
        <w:rPr>
          <w:rFonts w:asciiTheme="minorHAnsi" w:hAnsiTheme="minorHAnsi" w:cs="Segoe UI"/>
          <w:b/>
          <w:bCs/>
          <w:color w:val="333333"/>
          <w:szCs w:val="21"/>
          <w:shd w:val="clear" w:color="auto" w:fill="FFFFFF"/>
        </w:rPr>
        <w:t>a</w:t>
      </w:r>
      <w:r w:rsidR="00B23527">
        <w:rPr>
          <w:rFonts w:asciiTheme="minorHAnsi" w:hAnsiTheme="minorHAnsi" w:cs="Segoe UI"/>
          <w:b/>
          <w:bCs/>
          <w:color w:val="333333"/>
          <w:szCs w:val="21"/>
          <w:shd w:val="clear" w:color="auto" w:fill="FFFFFF"/>
        </w:rPr>
        <w:t>pplication of</w:t>
      </w:r>
      <w:r w:rsidR="00D944A8">
        <w:rPr>
          <w:rFonts w:asciiTheme="minorHAnsi" w:hAnsiTheme="minorHAnsi" w:cs="Segoe UI"/>
          <w:b/>
          <w:bCs/>
          <w:color w:val="333333"/>
          <w:szCs w:val="21"/>
          <w:shd w:val="clear" w:color="auto" w:fill="FFFFFF"/>
        </w:rPr>
        <w:t xml:space="preserve"> </w:t>
      </w:r>
      <w:r w:rsidR="004F63D2" w:rsidRPr="00BD15C0">
        <w:rPr>
          <w:rFonts w:asciiTheme="minorHAnsi" w:hAnsiTheme="minorHAnsi" w:cs="Segoe UI"/>
          <w:b/>
          <w:bCs/>
          <w:color w:val="333333"/>
          <w:szCs w:val="21"/>
          <w:shd w:val="clear" w:color="auto" w:fill="FFFFFF"/>
        </w:rPr>
        <w:t>Regulation (E</w:t>
      </w:r>
      <w:r w:rsidR="004F63D2">
        <w:rPr>
          <w:rFonts w:asciiTheme="minorHAnsi" w:hAnsiTheme="minorHAnsi" w:cs="Segoe UI"/>
          <w:b/>
          <w:bCs/>
          <w:color w:val="333333"/>
          <w:szCs w:val="21"/>
          <w:shd w:val="clear" w:color="auto" w:fill="FFFFFF"/>
        </w:rPr>
        <w:t>U</w:t>
      </w:r>
      <w:r w:rsidR="004F63D2" w:rsidRPr="00BD15C0">
        <w:rPr>
          <w:rFonts w:asciiTheme="minorHAnsi" w:hAnsiTheme="minorHAnsi" w:cs="Segoe UI"/>
          <w:b/>
          <w:bCs/>
          <w:color w:val="333333"/>
          <w:szCs w:val="21"/>
          <w:shd w:val="clear" w:color="auto" w:fill="FFFFFF"/>
        </w:rPr>
        <w:t xml:space="preserve">) 2022/2560 </w:t>
      </w:r>
      <w:r w:rsidR="00D944A8">
        <w:rPr>
          <w:rFonts w:asciiTheme="minorHAnsi" w:hAnsiTheme="minorHAnsi" w:cs="Segoe UI"/>
          <w:b/>
          <w:bCs/>
          <w:color w:val="333333"/>
          <w:szCs w:val="21"/>
          <w:shd w:val="clear" w:color="auto" w:fill="FFFFFF"/>
        </w:rPr>
        <w:t>i</w:t>
      </w:r>
      <w:r w:rsidR="004F63D2" w:rsidRPr="004F63D2">
        <w:rPr>
          <w:rFonts w:asciiTheme="minorHAnsi" w:hAnsiTheme="minorHAnsi" w:cs="Segoe UI"/>
          <w:b/>
          <w:bCs/>
          <w:color w:val="333333"/>
          <w:szCs w:val="21"/>
          <w:shd w:val="clear" w:color="auto" w:fill="FFFFFF"/>
        </w:rPr>
        <w:t xml:space="preserve">n </w:t>
      </w:r>
      <w:r w:rsidR="00D944A8">
        <w:rPr>
          <w:rFonts w:asciiTheme="minorHAnsi" w:hAnsiTheme="minorHAnsi" w:cs="Segoe UI"/>
          <w:b/>
          <w:bCs/>
          <w:color w:val="333333"/>
          <w:szCs w:val="21"/>
          <w:shd w:val="clear" w:color="auto" w:fill="FFFFFF"/>
        </w:rPr>
        <w:t>r</w:t>
      </w:r>
      <w:r w:rsidR="004F63D2" w:rsidRPr="004F63D2">
        <w:rPr>
          <w:rFonts w:asciiTheme="minorHAnsi" w:hAnsiTheme="minorHAnsi" w:cs="Segoe UI"/>
          <w:b/>
          <w:bCs/>
          <w:color w:val="333333"/>
          <w:szCs w:val="21"/>
          <w:shd w:val="clear" w:color="auto" w:fill="FFFFFF"/>
        </w:rPr>
        <w:t xml:space="preserve">espect </w:t>
      </w:r>
      <w:r w:rsidR="00D944A8">
        <w:rPr>
          <w:rFonts w:asciiTheme="minorHAnsi" w:hAnsiTheme="minorHAnsi" w:cs="Segoe UI"/>
          <w:b/>
          <w:bCs/>
          <w:color w:val="333333"/>
          <w:szCs w:val="21"/>
          <w:shd w:val="clear" w:color="auto" w:fill="FFFFFF"/>
        </w:rPr>
        <w:t>o</w:t>
      </w:r>
      <w:r w:rsidR="004F63D2" w:rsidRPr="004F63D2">
        <w:rPr>
          <w:rFonts w:asciiTheme="minorHAnsi" w:hAnsiTheme="minorHAnsi" w:cs="Segoe UI"/>
          <w:b/>
          <w:bCs/>
          <w:color w:val="333333"/>
          <w:szCs w:val="21"/>
          <w:shd w:val="clear" w:color="auto" w:fill="FFFFFF"/>
        </w:rPr>
        <w:t xml:space="preserve">f Foreign Subsidies </w:t>
      </w:r>
      <w:r w:rsidR="00D944A8">
        <w:rPr>
          <w:rFonts w:asciiTheme="minorHAnsi" w:hAnsiTheme="minorHAnsi" w:cs="Segoe UI"/>
          <w:b/>
          <w:bCs/>
          <w:color w:val="333333"/>
          <w:szCs w:val="21"/>
          <w:shd w:val="clear" w:color="auto" w:fill="FFFFFF"/>
        </w:rPr>
        <w:t>to the Competition</w:t>
      </w:r>
    </w:p>
    <w:sdt>
      <w:sdtPr>
        <w:id w:val="-1920633918"/>
        <w:placeholder>
          <w:docPart w:val="C8E2A1FBDE91491DB845324296EB871C"/>
        </w:placeholder>
      </w:sdtPr>
      <w:sdtEndPr>
        <w:rPr>
          <w:rFonts w:asciiTheme="minorHAnsi" w:hAnsiTheme="minorHAnsi" w:cstheme="minorHAnsi"/>
          <w:color w:val="auto"/>
          <w:sz w:val="22"/>
          <w:szCs w:val="22"/>
        </w:rPr>
      </w:sdtEndPr>
      <w:sdtContent>
        <w:p w14:paraId="1764606D" w14:textId="47D66EEC" w:rsidR="00B10212" w:rsidRDefault="00B10212" w:rsidP="00B10212">
          <w:pPr>
            <w:pStyle w:val="Heading1"/>
          </w:pPr>
        </w:p>
        <w:p w14:paraId="5D270260" w14:textId="7AD43870" w:rsidR="00922F79" w:rsidRPr="006B2825" w:rsidRDefault="00E11AFD" w:rsidP="006B2825">
          <w:pPr>
            <w:pStyle w:val="Heading1"/>
            <w:spacing w:before="0"/>
            <w:rPr>
              <w:rFonts w:asciiTheme="minorHAnsi" w:hAnsiTheme="minorHAnsi" w:cstheme="minorHAnsi"/>
              <w:i/>
              <w:sz w:val="22"/>
              <w:szCs w:val="22"/>
            </w:rPr>
          </w:pPr>
        </w:p>
      </w:sdtContent>
    </w:sdt>
    <w:p w14:paraId="13D87A5B" w14:textId="1D751539" w:rsidR="007915A4" w:rsidRPr="006B2825" w:rsidRDefault="007915A4" w:rsidP="00B458C7">
      <w:pPr>
        <w:jc w:val="both"/>
        <w:rPr>
          <w:rFonts w:asciiTheme="minorHAnsi" w:hAnsiTheme="minorHAnsi" w:cstheme="minorHAnsi"/>
          <w:sz w:val="22"/>
          <w:szCs w:val="22"/>
          <w:lang w:eastAsia="en-US"/>
        </w:rPr>
      </w:pPr>
    </w:p>
    <w:p w14:paraId="041EDB50" w14:textId="6EDE2F93" w:rsidR="008D3B83" w:rsidRDefault="008D3B83" w:rsidP="006B2825">
      <w:pPr>
        <w:rPr>
          <w:rFonts w:asciiTheme="minorHAnsi" w:hAnsiTheme="minorHAnsi" w:cstheme="minorHAnsi"/>
          <w:b/>
          <w:sz w:val="22"/>
          <w:szCs w:val="22"/>
          <w:lang w:eastAsia="en-US"/>
        </w:rPr>
      </w:pPr>
      <w:r>
        <w:rPr>
          <w:rFonts w:asciiTheme="minorHAnsi" w:hAnsiTheme="minorHAnsi" w:cstheme="minorHAnsi"/>
          <w:b/>
          <w:sz w:val="22"/>
          <w:szCs w:val="22"/>
          <w:lang w:eastAsia="en-US"/>
        </w:rPr>
        <w:t>Applicant/Tenderer Note: Where the Particulars state that EU Regulation 2022/2560</w:t>
      </w:r>
      <w:r w:rsidR="006565BC">
        <w:rPr>
          <w:rFonts w:asciiTheme="minorHAnsi" w:hAnsiTheme="minorHAnsi" w:cstheme="minorHAnsi"/>
          <w:b/>
          <w:sz w:val="22"/>
          <w:szCs w:val="22"/>
          <w:lang w:eastAsia="en-US"/>
        </w:rPr>
        <w:t xml:space="preserve"> </w:t>
      </w:r>
      <w:r w:rsidR="00F64A39">
        <w:rPr>
          <w:rFonts w:asciiTheme="minorHAnsi" w:hAnsiTheme="minorHAnsi" w:cstheme="minorHAnsi"/>
          <w:b/>
          <w:sz w:val="22"/>
          <w:szCs w:val="22"/>
          <w:lang w:eastAsia="en-US"/>
        </w:rPr>
        <w:t>(</w:t>
      </w:r>
      <w:r>
        <w:rPr>
          <w:rFonts w:asciiTheme="minorHAnsi" w:hAnsiTheme="minorHAnsi" w:cstheme="minorHAnsi"/>
          <w:b/>
          <w:sz w:val="22"/>
          <w:szCs w:val="22"/>
          <w:lang w:eastAsia="en-US"/>
        </w:rPr>
        <w:t>the Foreign Subsidies Regulation) applies to the Competition, this A</w:t>
      </w:r>
      <w:r w:rsidR="000627EA">
        <w:rPr>
          <w:rFonts w:asciiTheme="minorHAnsi" w:hAnsiTheme="minorHAnsi" w:cstheme="minorHAnsi"/>
          <w:b/>
          <w:sz w:val="22"/>
          <w:szCs w:val="22"/>
          <w:lang w:eastAsia="en-US"/>
        </w:rPr>
        <w:t>nnex</w:t>
      </w:r>
      <w:r>
        <w:rPr>
          <w:rFonts w:asciiTheme="minorHAnsi" w:hAnsiTheme="minorHAnsi" w:cstheme="minorHAnsi"/>
          <w:b/>
          <w:sz w:val="22"/>
          <w:szCs w:val="22"/>
          <w:lang w:eastAsia="en-US"/>
        </w:rPr>
        <w:t xml:space="preserve"> </w:t>
      </w:r>
      <w:r w:rsidR="000627EA">
        <w:rPr>
          <w:rFonts w:asciiTheme="minorHAnsi" w:hAnsiTheme="minorHAnsi" w:cstheme="minorHAnsi"/>
          <w:b/>
          <w:sz w:val="22"/>
          <w:szCs w:val="22"/>
          <w:lang w:eastAsia="en-US"/>
        </w:rPr>
        <w:t xml:space="preserve">forms part of </w:t>
      </w:r>
      <w:r>
        <w:rPr>
          <w:rFonts w:asciiTheme="minorHAnsi" w:hAnsiTheme="minorHAnsi" w:cstheme="minorHAnsi"/>
          <w:b/>
          <w:sz w:val="22"/>
          <w:szCs w:val="22"/>
          <w:lang w:eastAsia="en-US"/>
        </w:rPr>
        <w:t xml:space="preserve">the Suitability Assessment Questionnaire or the Invitation to Tender (as applicable). </w:t>
      </w:r>
    </w:p>
    <w:p w14:paraId="1CDD5FC3" w14:textId="77777777" w:rsidR="008D3B83" w:rsidRDefault="008D3B83" w:rsidP="006B2825">
      <w:pPr>
        <w:rPr>
          <w:rFonts w:asciiTheme="minorHAnsi" w:hAnsiTheme="minorHAnsi" w:cstheme="minorHAnsi"/>
          <w:b/>
          <w:sz w:val="22"/>
          <w:szCs w:val="22"/>
          <w:lang w:eastAsia="en-US"/>
        </w:rPr>
      </w:pPr>
    </w:p>
    <w:p w14:paraId="708A297A" w14:textId="2E3A0D59" w:rsidR="006E56EB" w:rsidRPr="006B2825" w:rsidRDefault="006E56EB" w:rsidP="006B2825">
      <w:pPr>
        <w:rPr>
          <w:rFonts w:asciiTheme="minorHAnsi" w:hAnsiTheme="minorHAnsi" w:cstheme="minorHAnsi"/>
          <w:b/>
          <w:sz w:val="22"/>
          <w:szCs w:val="22"/>
          <w:lang w:eastAsia="en-US"/>
        </w:rPr>
      </w:pPr>
      <w:r w:rsidRPr="006B2825">
        <w:rPr>
          <w:rFonts w:asciiTheme="minorHAnsi" w:hAnsiTheme="minorHAnsi" w:cstheme="minorHAnsi"/>
          <w:b/>
          <w:sz w:val="22"/>
          <w:szCs w:val="22"/>
          <w:lang w:eastAsia="en-US"/>
        </w:rPr>
        <w:t xml:space="preserve">EU Regulation 2022/2560 – the Foreign Subsidies Regulation </w:t>
      </w:r>
    </w:p>
    <w:p w14:paraId="1662264D" w14:textId="77777777" w:rsidR="002831D4" w:rsidRDefault="00B458C7" w:rsidP="006B2825">
      <w:pPr>
        <w:rPr>
          <w:rFonts w:asciiTheme="minorHAnsi" w:hAnsiTheme="minorHAnsi" w:cstheme="minorHAnsi"/>
          <w:iCs/>
          <w:sz w:val="22"/>
          <w:szCs w:val="22"/>
          <w:lang w:eastAsia="en-US"/>
        </w:rPr>
      </w:pPr>
      <w:r w:rsidRPr="006B2825">
        <w:rPr>
          <w:rFonts w:asciiTheme="minorHAnsi" w:hAnsiTheme="minorHAnsi" w:cstheme="minorHAnsi"/>
          <w:sz w:val="22"/>
          <w:szCs w:val="22"/>
          <w:lang w:eastAsia="en-US"/>
        </w:rPr>
        <w:t>Applicants/</w:t>
      </w:r>
      <w:r w:rsidRPr="006B2825">
        <w:rPr>
          <w:rFonts w:asciiTheme="minorHAnsi" w:hAnsiTheme="minorHAnsi" w:cstheme="minorHAnsi"/>
          <w:iCs/>
          <w:sz w:val="22"/>
          <w:szCs w:val="22"/>
          <w:lang w:eastAsia="en-US"/>
        </w:rPr>
        <w:t xml:space="preserve">Tenderers (as the case may be) should be aware of </w:t>
      </w:r>
      <w:r w:rsidR="001C1D0B" w:rsidRPr="006B2825">
        <w:rPr>
          <w:rFonts w:asciiTheme="minorHAnsi" w:hAnsiTheme="minorHAnsi" w:cstheme="minorHAnsi"/>
          <w:iCs/>
          <w:sz w:val="22"/>
          <w:szCs w:val="22"/>
          <w:lang w:eastAsia="en-US"/>
        </w:rPr>
        <w:t xml:space="preserve">Regulation (EU) 2022/2560 of the European Parliament and of the Council on foreign subsidies distorting the internal market - </w:t>
      </w:r>
      <w:r w:rsidRPr="006B2825">
        <w:rPr>
          <w:rFonts w:asciiTheme="minorHAnsi" w:hAnsiTheme="minorHAnsi" w:cstheme="minorHAnsi"/>
          <w:iCs/>
          <w:sz w:val="22"/>
          <w:szCs w:val="22"/>
          <w:lang w:eastAsia="en-US"/>
        </w:rPr>
        <w:t>the Foreign Subsidies Regulation (the “FSR”)</w:t>
      </w:r>
      <w:r w:rsidR="00AE68E8">
        <w:rPr>
          <w:rFonts w:asciiTheme="minorHAnsi" w:hAnsiTheme="minorHAnsi" w:cstheme="minorHAnsi"/>
          <w:iCs/>
          <w:sz w:val="22"/>
          <w:szCs w:val="22"/>
          <w:lang w:eastAsia="en-US"/>
        </w:rPr>
        <w:t xml:space="preserve">. </w:t>
      </w:r>
    </w:p>
    <w:p w14:paraId="40EECA9E" w14:textId="77777777" w:rsidR="002831D4" w:rsidRDefault="002831D4" w:rsidP="006B2825">
      <w:pPr>
        <w:rPr>
          <w:rFonts w:asciiTheme="minorHAnsi" w:hAnsiTheme="minorHAnsi" w:cstheme="minorHAnsi"/>
          <w:iCs/>
          <w:sz w:val="22"/>
          <w:szCs w:val="22"/>
          <w:lang w:eastAsia="en-US"/>
        </w:rPr>
      </w:pPr>
    </w:p>
    <w:p w14:paraId="61FD8412" w14:textId="77777777" w:rsidR="002831D4" w:rsidRDefault="00AE68E8" w:rsidP="006B2825">
      <w:pPr>
        <w:rPr>
          <w:rFonts w:asciiTheme="minorHAnsi" w:hAnsiTheme="minorHAnsi" w:cstheme="minorHAnsi"/>
          <w:iCs/>
          <w:sz w:val="22"/>
          <w:szCs w:val="22"/>
          <w:lang w:eastAsia="en-US"/>
        </w:rPr>
      </w:pPr>
      <w:r>
        <w:rPr>
          <w:rFonts w:asciiTheme="minorHAnsi" w:hAnsiTheme="minorHAnsi" w:cstheme="minorHAnsi"/>
          <w:iCs/>
          <w:sz w:val="22"/>
          <w:szCs w:val="22"/>
          <w:lang w:eastAsia="en-US"/>
        </w:rPr>
        <w:t>The FSR</w:t>
      </w:r>
      <w:r w:rsidR="00B458C7" w:rsidRPr="006B2825">
        <w:rPr>
          <w:rFonts w:asciiTheme="minorHAnsi" w:hAnsiTheme="minorHAnsi" w:cstheme="minorHAnsi"/>
          <w:iCs/>
          <w:sz w:val="22"/>
          <w:szCs w:val="22"/>
          <w:lang w:eastAsia="en-US"/>
        </w:rPr>
        <w:t xml:space="preserve"> requires </w:t>
      </w:r>
      <w:r w:rsidR="001C1D0B" w:rsidRPr="006B2825">
        <w:rPr>
          <w:rFonts w:asciiTheme="minorHAnsi" w:hAnsiTheme="minorHAnsi" w:cstheme="minorHAnsi"/>
          <w:iCs/>
          <w:sz w:val="22"/>
          <w:szCs w:val="22"/>
          <w:lang w:eastAsia="en-US"/>
        </w:rPr>
        <w:t>Applicants/T</w:t>
      </w:r>
      <w:r w:rsidR="00B458C7" w:rsidRPr="006B2825">
        <w:rPr>
          <w:rFonts w:asciiTheme="minorHAnsi" w:hAnsiTheme="minorHAnsi" w:cstheme="minorHAnsi"/>
          <w:iCs/>
          <w:sz w:val="22"/>
          <w:szCs w:val="22"/>
          <w:lang w:eastAsia="en-US"/>
        </w:rPr>
        <w:t xml:space="preserve">enderers (as well as its subsidiaries and holding companies, and main subcontractors and main suppliers, being those whose products or services relate to key elements of the contract or exceed 20% of the value of the contract) to notify the Contracting Authority whether they are subject to qualifying foreign subsidies. </w:t>
      </w:r>
    </w:p>
    <w:p w14:paraId="5582957A" w14:textId="77777777" w:rsidR="002831D4" w:rsidRDefault="002831D4" w:rsidP="006B2825">
      <w:pPr>
        <w:rPr>
          <w:rFonts w:asciiTheme="minorHAnsi" w:hAnsiTheme="minorHAnsi" w:cstheme="minorHAnsi"/>
          <w:iCs/>
          <w:sz w:val="22"/>
          <w:szCs w:val="22"/>
          <w:lang w:eastAsia="en-US"/>
        </w:rPr>
      </w:pPr>
    </w:p>
    <w:p w14:paraId="2A04CF7B" w14:textId="55C08386"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val="en-IE" w:eastAsia="en-US"/>
        </w:rPr>
        <w:t>The following is a high level summary of the FSR, but is not warranted in terms of accuracy and Applicants/Tenderers should review the FSR itself and the associated Implementing Regulation 2023/1441 of 10 July 2023 (the “</w:t>
      </w:r>
      <w:r w:rsidRPr="006B2825">
        <w:rPr>
          <w:rFonts w:asciiTheme="minorHAnsi" w:hAnsiTheme="minorHAnsi" w:cstheme="minorHAnsi"/>
          <w:bCs/>
          <w:iCs/>
          <w:sz w:val="22"/>
          <w:szCs w:val="22"/>
          <w:lang w:val="en-IE" w:eastAsia="en-US"/>
        </w:rPr>
        <w:t>Implementing Regulation</w:t>
      </w:r>
      <w:r w:rsidRPr="006B2825">
        <w:rPr>
          <w:rFonts w:asciiTheme="minorHAnsi" w:hAnsiTheme="minorHAnsi" w:cstheme="minorHAnsi"/>
          <w:iCs/>
          <w:sz w:val="22"/>
          <w:szCs w:val="22"/>
          <w:lang w:val="en-IE" w:eastAsia="en-US"/>
        </w:rPr>
        <w:t>”), as well as any applicable EU guidance, for a definitive explanation of the position.</w:t>
      </w:r>
    </w:p>
    <w:p w14:paraId="159857EF" w14:textId="77777777" w:rsidR="00B458C7" w:rsidRPr="006B2825" w:rsidRDefault="00B458C7" w:rsidP="006B2825">
      <w:pPr>
        <w:rPr>
          <w:rFonts w:asciiTheme="minorHAnsi" w:hAnsiTheme="minorHAnsi" w:cstheme="minorHAnsi"/>
          <w:iCs/>
          <w:sz w:val="22"/>
          <w:szCs w:val="22"/>
          <w:lang w:eastAsia="en-US"/>
        </w:rPr>
      </w:pPr>
    </w:p>
    <w:p w14:paraId="107232C9" w14:textId="063AFA28"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 xml:space="preserve">The FSR applies to contracts with an estimated value of €250m or above. Where the competition is divided into lots, the FSR applies where the aggregate value of all lots is €250m or </w:t>
      </w:r>
      <w:r w:rsidR="000627EA">
        <w:rPr>
          <w:rFonts w:asciiTheme="minorHAnsi" w:hAnsiTheme="minorHAnsi" w:cstheme="minorHAnsi"/>
          <w:iCs/>
          <w:sz w:val="22"/>
          <w:szCs w:val="22"/>
          <w:lang w:eastAsia="en-US"/>
        </w:rPr>
        <w:t>greater</w:t>
      </w:r>
      <w:r w:rsidRPr="006B2825">
        <w:rPr>
          <w:rFonts w:asciiTheme="minorHAnsi" w:hAnsiTheme="minorHAnsi" w:cstheme="minorHAnsi"/>
          <w:iCs/>
          <w:sz w:val="22"/>
          <w:szCs w:val="22"/>
          <w:lang w:eastAsia="en-US"/>
        </w:rPr>
        <w:t xml:space="preserve"> and the value of the lot or lots for which the </w:t>
      </w:r>
      <w:r w:rsidR="00BE6446">
        <w:rPr>
          <w:rFonts w:asciiTheme="minorHAnsi" w:hAnsiTheme="minorHAnsi" w:cstheme="minorHAnsi"/>
          <w:iCs/>
          <w:sz w:val="22"/>
          <w:szCs w:val="22"/>
          <w:lang w:eastAsia="en-US"/>
        </w:rPr>
        <w:t>Applicant/</w:t>
      </w:r>
      <w:r w:rsidRPr="006B2825">
        <w:rPr>
          <w:rFonts w:asciiTheme="minorHAnsi" w:hAnsiTheme="minorHAnsi" w:cstheme="minorHAnsi"/>
          <w:iCs/>
          <w:sz w:val="22"/>
          <w:szCs w:val="22"/>
          <w:lang w:eastAsia="en-US"/>
        </w:rPr>
        <w:t>Tenderer is bidding is €125m or above</w:t>
      </w:r>
      <w:r w:rsidR="007C3BF7">
        <w:rPr>
          <w:rStyle w:val="FootnoteReference"/>
          <w:rFonts w:asciiTheme="minorHAnsi" w:hAnsiTheme="minorHAnsi" w:cstheme="minorHAnsi"/>
          <w:iCs/>
          <w:sz w:val="22"/>
          <w:szCs w:val="22"/>
          <w:lang w:eastAsia="en-US"/>
        </w:rPr>
        <w:footnoteReference w:id="2"/>
      </w:r>
      <w:r w:rsidRPr="006B2825">
        <w:rPr>
          <w:rFonts w:asciiTheme="minorHAnsi" w:hAnsiTheme="minorHAnsi" w:cstheme="minorHAnsi"/>
          <w:iCs/>
          <w:sz w:val="22"/>
          <w:szCs w:val="22"/>
          <w:lang w:eastAsia="en-US"/>
        </w:rPr>
        <w:t xml:space="preserve">. </w:t>
      </w:r>
    </w:p>
    <w:p w14:paraId="0812FD06" w14:textId="77777777" w:rsidR="00B458C7" w:rsidRPr="006B2825" w:rsidRDefault="00B458C7" w:rsidP="006B2825">
      <w:pPr>
        <w:rPr>
          <w:rFonts w:asciiTheme="minorHAnsi" w:hAnsiTheme="minorHAnsi" w:cstheme="minorHAnsi"/>
          <w:sz w:val="22"/>
          <w:szCs w:val="22"/>
          <w:lang w:eastAsia="en-US"/>
        </w:rPr>
      </w:pPr>
    </w:p>
    <w:p w14:paraId="23A8C58C" w14:textId="2C55D713" w:rsidR="00AE68E8"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The FSR applies to foreign financial contributions which arise where a third country (i.e. any country other than the EU member states – for example the United Kingdom is a “third country” for these purposes) provides (directly or indirectly) a financial contribution which confers a benefit on an undertaking engaging in an economic activity in the internal market and which is limited, in law and in fact, to one or more undertakings or industries.</w:t>
      </w:r>
    </w:p>
    <w:p w14:paraId="0AB31131" w14:textId="77777777" w:rsidR="00AE68E8" w:rsidRDefault="00AE68E8" w:rsidP="006B2825">
      <w:pPr>
        <w:rPr>
          <w:rFonts w:asciiTheme="minorHAnsi" w:hAnsiTheme="minorHAnsi" w:cstheme="minorHAnsi"/>
          <w:iCs/>
          <w:sz w:val="22"/>
          <w:szCs w:val="22"/>
          <w:lang w:eastAsia="en-US"/>
        </w:rPr>
      </w:pPr>
    </w:p>
    <w:p w14:paraId="6150A149" w14:textId="1CAF433C"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It shall include: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
        <w:gridCol w:w="8560"/>
      </w:tblGrid>
      <w:tr w:rsidR="00B458C7" w:rsidRPr="00D944A8" w14:paraId="7EA6CEBC" w14:textId="77777777" w:rsidTr="00A877B4">
        <w:tc>
          <w:tcPr>
            <w:tcW w:w="442" w:type="dxa"/>
          </w:tcPr>
          <w:p w14:paraId="09B55CC9" w14:textId="77777777"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(a)</w:t>
            </w:r>
          </w:p>
        </w:tc>
        <w:tc>
          <w:tcPr>
            <w:tcW w:w="10014" w:type="dxa"/>
          </w:tcPr>
          <w:p w14:paraId="0DB54864" w14:textId="77777777"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the transfer of funds or liabilities, such as capital injections, grants, loans, loan guarantees, fiscal incentives, the setting off of operating losses, compensation for financial burdens imposed by public authorities, debt forgiveness, debt to equity swaps or rescheduling;</w:t>
            </w:r>
          </w:p>
        </w:tc>
      </w:tr>
      <w:tr w:rsidR="00B458C7" w:rsidRPr="00D944A8" w14:paraId="1FC359F6" w14:textId="77777777" w:rsidTr="00A877B4">
        <w:tc>
          <w:tcPr>
            <w:tcW w:w="442" w:type="dxa"/>
          </w:tcPr>
          <w:p w14:paraId="6055FB28" w14:textId="77777777"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(b)</w:t>
            </w:r>
          </w:p>
        </w:tc>
        <w:tc>
          <w:tcPr>
            <w:tcW w:w="10014" w:type="dxa"/>
          </w:tcPr>
          <w:p w14:paraId="5D9106EB" w14:textId="77777777"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the foregoing of revenue that is otherwise due, such as tax exemptions or the granting of special or exclusive rights without adequate remuneration; or</w:t>
            </w:r>
          </w:p>
        </w:tc>
      </w:tr>
      <w:tr w:rsidR="00B458C7" w:rsidRPr="00D944A8" w14:paraId="394D800B" w14:textId="77777777" w:rsidTr="00A877B4">
        <w:tc>
          <w:tcPr>
            <w:tcW w:w="442" w:type="dxa"/>
          </w:tcPr>
          <w:p w14:paraId="245EFE1F" w14:textId="19C7A557"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(c)</w:t>
            </w:r>
          </w:p>
        </w:tc>
        <w:tc>
          <w:tcPr>
            <w:tcW w:w="10014" w:type="dxa"/>
          </w:tcPr>
          <w:p w14:paraId="6B47B73D" w14:textId="54DA30E3"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the provision of goods or services or the purchase of goods or services.</w:t>
            </w:r>
          </w:p>
        </w:tc>
      </w:tr>
    </w:tbl>
    <w:p w14:paraId="6D35FA96" w14:textId="77777777" w:rsidR="00B458C7" w:rsidRPr="006B2825" w:rsidRDefault="00B458C7" w:rsidP="006B2825">
      <w:pPr>
        <w:rPr>
          <w:rFonts w:asciiTheme="minorHAnsi" w:hAnsiTheme="minorHAnsi" w:cstheme="minorHAnsi"/>
          <w:iCs/>
          <w:sz w:val="22"/>
          <w:szCs w:val="22"/>
          <w:lang w:eastAsia="en-US"/>
        </w:rPr>
      </w:pPr>
    </w:p>
    <w:p w14:paraId="5A84758D" w14:textId="42D50E71"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A financial contribution provided by a third country shall include a financial contribution provided by:</w:t>
      </w:r>
    </w:p>
    <w:p w14:paraId="269E7C97" w14:textId="77777777" w:rsidR="00B458C7" w:rsidRPr="006B2825" w:rsidRDefault="00B458C7" w:rsidP="006B2825">
      <w:pPr>
        <w:rPr>
          <w:rFonts w:asciiTheme="minorHAnsi" w:hAnsiTheme="minorHAnsi" w:cstheme="minorHAnsi"/>
          <w:iCs/>
          <w:sz w:val="22"/>
          <w:szCs w:val="22"/>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
        <w:gridCol w:w="8560"/>
      </w:tblGrid>
      <w:tr w:rsidR="00B458C7" w:rsidRPr="00D944A8" w14:paraId="00785956" w14:textId="77777777" w:rsidTr="00A877B4">
        <w:tc>
          <w:tcPr>
            <w:tcW w:w="442" w:type="dxa"/>
          </w:tcPr>
          <w:p w14:paraId="291E6295" w14:textId="77777777"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(a)</w:t>
            </w:r>
          </w:p>
        </w:tc>
        <w:tc>
          <w:tcPr>
            <w:tcW w:w="10014" w:type="dxa"/>
          </w:tcPr>
          <w:p w14:paraId="0DB8AAAD" w14:textId="77777777"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the central government and public authorities at all other levels;</w:t>
            </w:r>
          </w:p>
        </w:tc>
      </w:tr>
      <w:tr w:rsidR="00B458C7" w:rsidRPr="00D944A8" w14:paraId="47FB7264" w14:textId="77777777" w:rsidTr="00A877B4">
        <w:tc>
          <w:tcPr>
            <w:tcW w:w="442" w:type="dxa"/>
          </w:tcPr>
          <w:p w14:paraId="2407EB58" w14:textId="77777777"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lastRenderedPageBreak/>
              <w:t>(b)</w:t>
            </w:r>
          </w:p>
        </w:tc>
        <w:tc>
          <w:tcPr>
            <w:tcW w:w="10014" w:type="dxa"/>
          </w:tcPr>
          <w:p w14:paraId="5EDC6429" w14:textId="77777777"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a foreign public entity whose actions can be attributed to the third country, taking into account elements such as the characteristics of the entity and the legal and economic environment prevailing in the State in which the entity operates, including the government’s role in the economy; or</w:t>
            </w:r>
          </w:p>
        </w:tc>
      </w:tr>
      <w:tr w:rsidR="00B458C7" w:rsidRPr="00D944A8" w14:paraId="11FBE200" w14:textId="77777777" w:rsidTr="00A877B4">
        <w:tc>
          <w:tcPr>
            <w:tcW w:w="442" w:type="dxa"/>
          </w:tcPr>
          <w:p w14:paraId="1460414B" w14:textId="77777777"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(c)</w:t>
            </w:r>
          </w:p>
        </w:tc>
        <w:tc>
          <w:tcPr>
            <w:tcW w:w="10014" w:type="dxa"/>
          </w:tcPr>
          <w:p w14:paraId="4BB5A15A" w14:textId="77777777"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a private entity whose actions can be attributed to the third country, taking into account all relevant circumstances.</w:t>
            </w:r>
          </w:p>
        </w:tc>
      </w:tr>
    </w:tbl>
    <w:p w14:paraId="0719C77C" w14:textId="77777777" w:rsidR="00B458C7" w:rsidRPr="006B2825" w:rsidRDefault="00B458C7" w:rsidP="006B2825">
      <w:pPr>
        <w:rPr>
          <w:rFonts w:asciiTheme="minorHAnsi" w:hAnsiTheme="minorHAnsi" w:cstheme="minorHAnsi"/>
          <w:iCs/>
          <w:sz w:val="22"/>
          <w:szCs w:val="22"/>
          <w:lang w:eastAsia="en-US"/>
        </w:rPr>
      </w:pPr>
    </w:p>
    <w:p w14:paraId="2FCEDC69" w14:textId="77777777" w:rsidR="00B458C7" w:rsidRPr="006B2825" w:rsidRDefault="00B458C7" w:rsidP="006B2825">
      <w:pPr>
        <w:rPr>
          <w:rFonts w:asciiTheme="minorHAnsi" w:hAnsiTheme="minorHAnsi" w:cstheme="minorHAnsi"/>
          <w:iCs/>
          <w:sz w:val="22"/>
          <w:szCs w:val="22"/>
          <w:lang w:val="en-IE" w:eastAsia="en-US"/>
        </w:rPr>
      </w:pPr>
      <w:r w:rsidRPr="006B2825">
        <w:rPr>
          <w:rFonts w:asciiTheme="minorHAnsi" w:hAnsiTheme="minorHAnsi" w:cstheme="minorHAnsi"/>
          <w:iCs/>
          <w:sz w:val="22"/>
          <w:szCs w:val="22"/>
          <w:lang w:val="en-IE" w:eastAsia="en-US"/>
        </w:rPr>
        <w:t xml:space="preserve">An </w:t>
      </w:r>
      <w:r w:rsidRPr="006B2825">
        <w:rPr>
          <w:rFonts w:asciiTheme="minorHAnsi" w:hAnsiTheme="minorHAnsi" w:cstheme="minorHAnsi"/>
          <w:b/>
          <w:iCs/>
          <w:sz w:val="22"/>
          <w:szCs w:val="22"/>
          <w:lang w:val="en-IE" w:eastAsia="en-US"/>
        </w:rPr>
        <w:t>FSR Notification</w:t>
      </w:r>
      <w:r w:rsidRPr="006B2825">
        <w:rPr>
          <w:rFonts w:asciiTheme="minorHAnsi" w:hAnsiTheme="minorHAnsi" w:cstheme="minorHAnsi"/>
          <w:iCs/>
          <w:sz w:val="22"/>
          <w:szCs w:val="22"/>
          <w:lang w:val="en-IE" w:eastAsia="en-US"/>
        </w:rPr>
        <w:t xml:space="preserve"> shall be required where the foreign financial contributions from any third country have a value of €4million or above per third country (the “Notification Threshold”) in the three years prior to the date of the FSR Notification. </w:t>
      </w:r>
    </w:p>
    <w:p w14:paraId="41544013" w14:textId="77777777" w:rsidR="00B458C7" w:rsidRPr="006B2825" w:rsidRDefault="00B458C7" w:rsidP="006B2825">
      <w:pPr>
        <w:rPr>
          <w:rFonts w:asciiTheme="minorHAnsi" w:hAnsiTheme="minorHAnsi" w:cstheme="minorHAnsi"/>
          <w:iCs/>
          <w:sz w:val="22"/>
          <w:szCs w:val="22"/>
          <w:lang w:val="en-IE" w:eastAsia="en-US"/>
        </w:rPr>
      </w:pPr>
    </w:p>
    <w:p w14:paraId="2DEA7EC4" w14:textId="7700C3C7" w:rsidR="00B458C7" w:rsidRPr="006B2825" w:rsidRDefault="00B458C7" w:rsidP="006B2825">
      <w:pPr>
        <w:rPr>
          <w:rFonts w:asciiTheme="minorHAnsi" w:hAnsiTheme="minorHAnsi" w:cstheme="minorHAnsi"/>
          <w:iCs/>
          <w:sz w:val="22"/>
          <w:szCs w:val="22"/>
          <w:lang w:val="en-IE" w:eastAsia="en-US"/>
        </w:rPr>
      </w:pPr>
      <w:r w:rsidRPr="006B2825">
        <w:rPr>
          <w:rFonts w:asciiTheme="minorHAnsi" w:hAnsiTheme="minorHAnsi" w:cstheme="minorHAnsi"/>
          <w:iCs/>
          <w:sz w:val="22"/>
          <w:szCs w:val="22"/>
          <w:lang w:val="en-IE" w:eastAsia="en-US"/>
        </w:rPr>
        <w:t xml:space="preserve">An </w:t>
      </w:r>
      <w:r w:rsidRPr="006B2825">
        <w:rPr>
          <w:rFonts w:asciiTheme="minorHAnsi" w:hAnsiTheme="minorHAnsi" w:cstheme="minorHAnsi"/>
          <w:b/>
          <w:iCs/>
          <w:sz w:val="22"/>
          <w:szCs w:val="22"/>
          <w:lang w:val="en-IE" w:eastAsia="en-US"/>
        </w:rPr>
        <w:t>FSR Declaration</w:t>
      </w:r>
      <w:r w:rsidRPr="006B2825">
        <w:rPr>
          <w:rFonts w:asciiTheme="minorHAnsi" w:hAnsiTheme="minorHAnsi" w:cstheme="minorHAnsi"/>
          <w:iCs/>
          <w:sz w:val="22"/>
          <w:szCs w:val="22"/>
          <w:lang w:val="en-IE" w:eastAsia="en-US"/>
        </w:rPr>
        <w:t xml:space="preserve"> shall be required where foreign financial contributions from any third country do not reach the Notification Threshold in the three years prior to the date of the FSR Declaration. </w:t>
      </w:r>
    </w:p>
    <w:p w14:paraId="51D1BA3A" w14:textId="723AC5D0" w:rsidR="00B458C7" w:rsidRDefault="00B458C7" w:rsidP="006B2825">
      <w:pPr>
        <w:rPr>
          <w:rFonts w:asciiTheme="minorHAnsi" w:hAnsiTheme="minorHAnsi" w:cstheme="minorHAnsi"/>
          <w:iCs/>
          <w:sz w:val="22"/>
          <w:szCs w:val="22"/>
          <w:lang w:val="en-IE" w:eastAsia="en-US"/>
        </w:rPr>
      </w:pPr>
    </w:p>
    <w:p w14:paraId="334FF1DE" w14:textId="56B89FCD" w:rsidR="002831D4" w:rsidRDefault="002831D4" w:rsidP="002831D4">
      <w:pPr>
        <w:rPr>
          <w:rFonts w:asciiTheme="minorHAnsi" w:hAnsiTheme="minorHAnsi" w:cstheme="minorHAnsi"/>
          <w:sz w:val="22"/>
          <w:szCs w:val="22"/>
          <w:lang w:eastAsia="en-US"/>
        </w:rPr>
      </w:pPr>
      <w:r w:rsidRPr="0090413E">
        <w:rPr>
          <w:rFonts w:asciiTheme="minorHAnsi" w:hAnsiTheme="minorHAnsi" w:cstheme="minorHAnsi"/>
          <w:sz w:val="22"/>
          <w:szCs w:val="22"/>
          <w:lang w:eastAsia="en-US"/>
        </w:rPr>
        <w:t>The FSR requires that all Applicants/Tenderers make either:</w:t>
      </w:r>
    </w:p>
    <w:p w14:paraId="03D7534B" w14:textId="77777777" w:rsidR="002831D4" w:rsidRPr="0090413E" w:rsidRDefault="002831D4" w:rsidP="002831D4">
      <w:pPr>
        <w:rPr>
          <w:rFonts w:asciiTheme="minorHAnsi" w:hAnsiTheme="minorHAnsi" w:cstheme="minorHAnsi"/>
          <w:sz w:val="22"/>
          <w:szCs w:val="22"/>
          <w:lang w:eastAsia="en-US"/>
        </w:rPr>
      </w:pPr>
    </w:p>
    <w:p w14:paraId="1CFEA8DE" w14:textId="06182924" w:rsidR="002831D4" w:rsidRPr="0090413E" w:rsidRDefault="002831D4" w:rsidP="006B2825">
      <w:pPr>
        <w:numPr>
          <w:ilvl w:val="0"/>
          <w:numId w:val="10"/>
        </w:numPr>
        <w:rPr>
          <w:rFonts w:asciiTheme="minorHAnsi" w:hAnsiTheme="minorHAnsi" w:cstheme="minorHAnsi"/>
          <w:iCs/>
          <w:sz w:val="22"/>
          <w:szCs w:val="22"/>
          <w:lang w:val="en-IE" w:eastAsia="en-US"/>
        </w:rPr>
      </w:pPr>
      <w:r w:rsidRPr="0090413E">
        <w:rPr>
          <w:rFonts w:asciiTheme="minorHAnsi" w:hAnsiTheme="minorHAnsi" w:cstheme="minorHAnsi"/>
          <w:iCs/>
          <w:sz w:val="22"/>
          <w:szCs w:val="22"/>
          <w:lang w:val="en-IE" w:eastAsia="en-US"/>
        </w:rPr>
        <w:t xml:space="preserve">An FSR Notification in the form of Annex II - Form FS-PP of the Implementing Regulation detailing foreign financial contributions received; or </w:t>
      </w:r>
    </w:p>
    <w:p w14:paraId="70A1109B" w14:textId="67EEFEFA" w:rsidR="002831D4" w:rsidRPr="0090413E" w:rsidRDefault="002831D4" w:rsidP="006B2825">
      <w:pPr>
        <w:numPr>
          <w:ilvl w:val="0"/>
          <w:numId w:val="10"/>
        </w:numPr>
        <w:rPr>
          <w:rFonts w:asciiTheme="minorHAnsi" w:hAnsiTheme="minorHAnsi" w:cstheme="minorHAnsi"/>
          <w:iCs/>
          <w:sz w:val="22"/>
          <w:szCs w:val="22"/>
          <w:lang w:val="en-IE" w:eastAsia="en-US"/>
        </w:rPr>
      </w:pPr>
      <w:r w:rsidRPr="0090413E">
        <w:rPr>
          <w:rFonts w:asciiTheme="minorHAnsi" w:hAnsiTheme="minorHAnsi" w:cstheme="minorHAnsi"/>
          <w:iCs/>
          <w:sz w:val="22"/>
          <w:szCs w:val="22"/>
          <w:lang w:val="en-IE" w:eastAsia="en-US"/>
        </w:rPr>
        <w:t xml:space="preserve">An FSR Declaration in the form of completed sections 1, 2, 7 and 8 of Annex II - Form FS-PP </w:t>
      </w:r>
      <w:r>
        <w:rPr>
          <w:rFonts w:asciiTheme="minorHAnsi" w:hAnsiTheme="minorHAnsi" w:cstheme="minorHAnsi"/>
          <w:iCs/>
          <w:sz w:val="22"/>
          <w:szCs w:val="22"/>
          <w:lang w:val="en-IE" w:eastAsia="en-US"/>
        </w:rPr>
        <w:t xml:space="preserve">of the Implementing Regulation </w:t>
      </w:r>
      <w:r w:rsidRPr="0090413E">
        <w:rPr>
          <w:rFonts w:asciiTheme="minorHAnsi" w:hAnsiTheme="minorHAnsi" w:cstheme="minorHAnsi"/>
          <w:iCs/>
          <w:sz w:val="22"/>
          <w:szCs w:val="22"/>
          <w:lang w:val="en-IE" w:eastAsia="en-US"/>
        </w:rPr>
        <w:t>declaring that notifiable foreign financial contributions meeting the relevant threshold have not been received.</w:t>
      </w:r>
    </w:p>
    <w:p w14:paraId="22EDABC4" w14:textId="77777777" w:rsidR="002831D4" w:rsidRDefault="002831D4" w:rsidP="006B2825">
      <w:pPr>
        <w:rPr>
          <w:rFonts w:asciiTheme="minorHAnsi" w:hAnsiTheme="minorHAnsi" w:cstheme="minorHAnsi"/>
          <w:iCs/>
          <w:sz w:val="22"/>
          <w:szCs w:val="22"/>
          <w:lang w:val="en-IE" w:eastAsia="en-US"/>
        </w:rPr>
      </w:pPr>
    </w:p>
    <w:p w14:paraId="53DC930B" w14:textId="3F02C6F7" w:rsidR="002831D4" w:rsidRPr="0090413E" w:rsidRDefault="002831D4" w:rsidP="002831D4">
      <w:pPr>
        <w:rPr>
          <w:rFonts w:asciiTheme="minorHAnsi" w:hAnsiTheme="minorHAnsi" w:cstheme="minorHAnsi"/>
          <w:sz w:val="22"/>
          <w:szCs w:val="22"/>
          <w:lang w:eastAsia="en-US"/>
        </w:rPr>
      </w:pPr>
    </w:p>
    <w:p w14:paraId="5001E0C4" w14:textId="66A9B5B1" w:rsidR="002831D4" w:rsidRPr="0090413E" w:rsidRDefault="007C3BF7" w:rsidP="002831D4">
      <w:pPr>
        <w:rPr>
          <w:rFonts w:asciiTheme="minorHAnsi" w:hAnsiTheme="minorHAnsi" w:cstheme="minorHAnsi"/>
          <w:iCs/>
          <w:sz w:val="22"/>
          <w:szCs w:val="22"/>
          <w:lang w:eastAsia="en-US"/>
        </w:rPr>
      </w:pPr>
      <w:r w:rsidRPr="008D6B2D">
        <w:rPr>
          <w:rFonts w:asciiTheme="minorHAnsi" w:hAnsiTheme="minorHAnsi" w:cstheme="minorHAnsi"/>
          <w:iCs/>
          <w:sz w:val="22"/>
          <w:szCs w:val="22"/>
          <w:lang w:eastAsia="en-US"/>
        </w:rPr>
        <w:t>Where FSR applies to the tender</w:t>
      </w:r>
      <w:r w:rsidR="003E1C46">
        <w:rPr>
          <w:rFonts w:asciiTheme="minorHAnsi" w:hAnsiTheme="minorHAnsi" w:cstheme="minorHAnsi"/>
          <w:iCs/>
          <w:sz w:val="22"/>
          <w:szCs w:val="22"/>
          <w:lang w:eastAsia="en-US"/>
        </w:rPr>
        <w:t>,</w:t>
      </w:r>
      <w:r w:rsidRPr="008D6B2D">
        <w:rPr>
          <w:rFonts w:asciiTheme="minorHAnsi" w:hAnsiTheme="minorHAnsi" w:cstheme="minorHAnsi"/>
          <w:iCs/>
          <w:sz w:val="22"/>
          <w:szCs w:val="22"/>
          <w:lang w:eastAsia="en-US"/>
        </w:rPr>
        <w:t xml:space="preserve"> </w:t>
      </w:r>
      <w:r w:rsidR="003E1C46">
        <w:rPr>
          <w:rFonts w:asciiTheme="minorHAnsi" w:hAnsiTheme="minorHAnsi" w:cstheme="minorHAnsi"/>
          <w:b/>
          <w:iCs/>
          <w:sz w:val="22"/>
          <w:szCs w:val="22"/>
          <w:lang w:eastAsia="en-US"/>
        </w:rPr>
        <w:t>a</w:t>
      </w:r>
      <w:r w:rsidR="002831D4" w:rsidRPr="006B2825">
        <w:rPr>
          <w:rFonts w:asciiTheme="minorHAnsi" w:hAnsiTheme="minorHAnsi" w:cstheme="minorHAnsi"/>
          <w:b/>
          <w:iCs/>
          <w:sz w:val="22"/>
          <w:szCs w:val="22"/>
          <w:lang w:eastAsia="en-US"/>
        </w:rPr>
        <w:t>ll Applicants/Tenderers</w:t>
      </w:r>
      <w:r w:rsidR="002831D4" w:rsidRPr="0090413E">
        <w:rPr>
          <w:rFonts w:asciiTheme="minorHAnsi" w:hAnsiTheme="minorHAnsi" w:cstheme="minorHAnsi"/>
          <w:iCs/>
          <w:sz w:val="22"/>
          <w:szCs w:val="22"/>
          <w:lang w:eastAsia="en-US"/>
        </w:rPr>
        <w:t xml:space="preserve"> are therefore required to include a completed Form FS-PP (or part thereof, as may </w:t>
      </w:r>
      <w:r w:rsidR="002831D4">
        <w:rPr>
          <w:rFonts w:asciiTheme="minorHAnsi" w:hAnsiTheme="minorHAnsi" w:cstheme="minorHAnsi"/>
          <w:iCs/>
          <w:sz w:val="22"/>
          <w:szCs w:val="22"/>
          <w:lang w:eastAsia="en-US"/>
        </w:rPr>
        <w:t xml:space="preserve">be </w:t>
      </w:r>
      <w:r w:rsidR="002831D4" w:rsidRPr="0090413E">
        <w:rPr>
          <w:rFonts w:asciiTheme="minorHAnsi" w:hAnsiTheme="minorHAnsi" w:cstheme="minorHAnsi"/>
          <w:iCs/>
          <w:sz w:val="22"/>
          <w:szCs w:val="22"/>
          <w:lang w:eastAsia="en-US"/>
        </w:rPr>
        <w:t xml:space="preserve">applicable) in their </w:t>
      </w:r>
      <w:r w:rsidR="002831D4">
        <w:rPr>
          <w:rFonts w:asciiTheme="minorHAnsi" w:hAnsiTheme="minorHAnsi" w:cstheme="minorHAnsi"/>
          <w:iCs/>
          <w:sz w:val="22"/>
          <w:szCs w:val="22"/>
          <w:lang w:eastAsia="en-US"/>
        </w:rPr>
        <w:t xml:space="preserve">suitability assessment or tender </w:t>
      </w:r>
      <w:r w:rsidR="002831D4" w:rsidRPr="0090413E">
        <w:rPr>
          <w:rFonts w:asciiTheme="minorHAnsi" w:hAnsiTheme="minorHAnsi" w:cstheme="minorHAnsi"/>
          <w:iCs/>
          <w:sz w:val="22"/>
          <w:szCs w:val="22"/>
          <w:lang w:eastAsia="en-US"/>
        </w:rPr>
        <w:t>submission (as may be</w:t>
      </w:r>
      <w:r w:rsidR="002831D4" w:rsidRPr="007F132E">
        <w:rPr>
          <w:rFonts w:asciiTheme="minorHAnsi" w:hAnsiTheme="minorHAnsi" w:cstheme="minorHAnsi"/>
          <w:iCs/>
          <w:sz w:val="22"/>
          <w:szCs w:val="22"/>
          <w:lang w:eastAsia="en-US"/>
        </w:rPr>
        <w:t xml:space="preserve"> applicable</w:t>
      </w:r>
      <w:r w:rsidR="002831D4" w:rsidRPr="0090413E">
        <w:rPr>
          <w:rFonts w:asciiTheme="minorHAnsi" w:hAnsiTheme="minorHAnsi" w:cstheme="minorHAnsi"/>
          <w:iCs/>
          <w:sz w:val="22"/>
          <w:szCs w:val="22"/>
          <w:lang w:eastAsia="en-US"/>
        </w:rPr>
        <w:t xml:space="preserve">).  </w:t>
      </w:r>
    </w:p>
    <w:p w14:paraId="4C43BB62" w14:textId="31FC2A99" w:rsidR="00F50875" w:rsidRPr="006B2825" w:rsidRDefault="00F50875" w:rsidP="006B2825">
      <w:pPr>
        <w:pStyle w:val="ListParagraph"/>
        <w:rPr>
          <w:rFonts w:asciiTheme="minorHAnsi" w:hAnsiTheme="minorHAnsi" w:cstheme="minorHAnsi"/>
          <w:iCs/>
          <w:sz w:val="22"/>
          <w:szCs w:val="22"/>
          <w:lang w:val="en-IE" w:eastAsia="en-US"/>
        </w:rPr>
      </w:pPr>
    </w:p>
    <w:p w14:paraId="180DEEC9" w14:textId="28F4CF6F"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 xml:space="preserve">The Contracting Authority is required to transmit all FSR Notifications and FSR Declarations received to the European Commission, who may take various steps as set out in the FSR. The Contracting Authority will not conclude the public contract with any preferred </w:t>
      </w:r>
      <w:r w:rsidR="00F50875">
        <w:rPr>
          <w:rFonts w:asciiTheme="minorHAnsi" w:hAnsiTheme="minorHAnsi" w:cstheme="minorHAnsi"/>
          <w:iCs/>
          <w:sz w:val="22"/>
          <w:szCs w:val="22"/>
          <w:lang w:eastAsia="en-US"/>
        </w:rPr>
        <w:t>T</w:t>
      </w:r>
      <w:r w:rsidRPr="006B2825">
        <w:rPr>
          <w:rFonts w:asciiTheme="minorHAnsi" w:hAnsiTheme="minorHAnsi" w:cstheme="minorHAnsi"/>
          <w:iCs/>
          <w:sz w:val="22"/>
          <w:szCs w:val="22"/>
          <w:lang w:eastAsia="en-US"/>
        </w:rPr>
        <w:t>enderer who is in receipt of a qualifying foreign subsidy until the European Commission has concluded its review or investigation. Where the European Commission has determined that a contract may not be awarded to a particular Tenderer by virtue of a distorting subsidy, the Contracting Authority may award the contract to the Tenderer having submitted the next ranked Tender.</w:t>
      </w:r>
    </w:p>
    <w:p w14:paraId="5A285CD7" w14:textId="77777777" w:rsidR="00B458C7" w:rsidRPr="006B2825" w:rsidRDefault="00B458C7" w:rsidP="006B2825">
      <w:pPr>
        <w:rPr>
          <w:rFonts w:asciiTheme="minorHAnsi" w:hAnsiTheme="minorHAnsi" w:cstheme="minorHAnsi"/>
          <w:iCs/>
          <w:sz w:val="22"/>
          <w:szCs w:val="22"/>
          <w:lang w:eastAsia="en-US"/>
        </w:rPr>
      </w:pPr>
    </w:p>
    <w:p w14:paraId="698E56BB" w14:textId="3FC73685" w:rsidR="00B458C7" w:rsidRPr="006B2825" w:rsidRDefault="00B458C7" w:rsidP="006B2825">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t xml:space="preserve">The Contracting Authority is also entitled to make inquiries of </w:t>
      </w:r>
      <w:r w:rsidR="00653282">
        <w:rPr>
          <w:rFonts w:asciiTheme="minorHAnsi" w:hAnsiTheme="minorHAnsi" w:cstheme="minorHAnsi"/>
          <w:iCs/>
          <w:sz w:val="22"/>
          <w:szCs w:val="22"/>
          <w:lang w:eastAsia="en-US"/>
        </w:rPr>
        <w:t>Applicants/</w:t>
      </w:r>
      <w:r w:rsidRPr="006B2825">
        <w:rPr>
          <w:rFonts w:asciiTheme="minorHAnsi" w:hAnsiTheme="minorHAnsi" w:cstheme="minorHAnsi"/>
          <w:iCs/>
          <w:sz w:val="22"/>
          <w:szCs w:val="22"/>
          <w:lang w:eastAsia="en-US"/>
        </w:rPr>
        <w:t>Tenderers to determine whether a Tenderer is in receipt of a foreign financial contributions, and may also communicate to the European Commission any suspicions that it has that a</w:t>
      </w:r>
      <w:r w:rsidR="00653282">
        <w:rPr>
          <w:rFonts w:asciiTheme="minorHAnsi" w:hAnsiTheme="minorHAnsi" w:cstheme="minorHAnsi"/>
          <w:iCs/>
          <w:sz w:val="22"/>
          <w:szCs w:val="22"/>
          <w:lang w:eastAsia="en-US"/>
        </w:rPr>
        <w:t>n Applicant/</w:t>
      </w:r>
      <w:r w:rsidRPr="006B2825">
        <w:rPr>
          <w:rFonts w:asciiTheme="minorHAnsi" w:hAnsiTheme="minorHAnsi" w:cstheme="minorHAnsi"/>
          <w:iCs/>
          <w:sz w:val="22"/>
          <w:szCs w:val="22"/>
          <w:lang w:eastAsia="en-US"/>
        </w:rPr>
        <w:t>Tenderer may be in receipt of an undisclosed foreign financial contributions.</w:t>
      </w:r>
    </w:p>
    <w:p w14:paraId="28792CD6" w14:textId="77777777" w:rsidR="002B10C8" w:rsidRDefault="002B10C8">
      <w:pPr>
        <w:rPr>
          <w:rFonts w:asciiTheme="minorHAnsi" w:hAnsiTheme="minorHAnsi" w:cstheme="minorHAnsi"/>
          <w:iCs/>
          <w:sz w:val="22"/>
          <w:szCs w:val="22"/>
          <w:lang w:eastAsia="en-US"/>
        </w:rPr>
      </w:pPr>
    </w:p>
    <w:p w14:paraId="07BD6A0F" w14:textId="4DDB46FA" w:rsidR="00EF2EC3" w:rsidRDefault="002831D4" w:rsidP="006B2825">
      <w:pPr>
        <w:rPr>
          <w:rFonts w:asciiTheme="minorHAnsi" w:hAnsiTheme="minorHAnsi" w:cstheme="minorHAnsi"/>
          <w:iCs/>
          <w:sz w:val="22"/>
          <w:szCs w:val="22"/>
          <w:lang w:val="en-IE" w:eastAsia="en-US"/>
        </w:rPr>
      </w:pPr>
      <w:r w:rsidRPr="0090413E">
        <w:rPr>
          <w:rFonts w:asciiTheme="minorHAnsi" w:hAnsiTheme="minorHAnsi" w:cstheme="minorHAnsi"/>
          <w:iCs/>
          <w:sz w:val="22"/>
          <w:szCs w:val="22"/>
          <w:lang w:eastAsia="en-US"/>
        </w:rPr>
        <w:t xml:space="preserve">Applicants/Tenders may </w:t>
      </w:r>
      <w:r>
        <w:rPr>
          <w:rFonts w:asciiTheme="minorHAnsi" w:hAnsiTheme="minorHAnsi" w:cstheme="minorHAnsi"/>
          <w:iCs/>
          <w:sz w:val="22"/>
          <w:szCs w:val="22"/>
          <w:lang w:eastAsia="en-US"/>
        </w:rPr>
        <w:t xml:space="preserve">complete the FS-PP form by </w:t>
      </w:r>
      <w:r w:rsidR="00790370">
        <w:rPr>
          <w:rFonts w:asciiTheme="minorHAnsi" w:hAnsiTheme="minorHAnsi" w:cstheme="minorHAnsi"/>
          <w:iCs/>
          <w:sz w:val="22"/>
          <w:szCs w:val="22"/>
          <w:lang w:val="en-IE" w:eastAsia="en-US"/>
        </w:rPr>
        <w:t>c</w:t>
      </w:r>
      <w:r>
        <w:rPr>
          <w:rFonts w:asciiTheme="minorHAnsi" w:hAnsiTheme="minorHAnsi" w:cstheme="minorHAnsi"/>
          <w:iCs/>
          <w:sz w:val="22"/>
          <w:szCs w:val="22"/>
          <w:lang w:val="en-IE" w:eastAsia="en-US"/>
        </w:rPr>
        <w:t xml:space="preserve">ompleting </w:t>
      </w:r>
      <w:r w:rsidRPr="0090413E">
        <w:rPr>
          <w:rFonts w:asciiTheme="minorHAnsi" w:hAnsiTheme="minorHAnsi" w:cstheme="minorHAnsi"/>
          <w:iCs/>
          <w:sz w:val="22"/>
          <w:szCs w:val="22"/>
          <w:lang w:val="en-IE" w:eastAsia="en-US"/>
        </w:rPr>
        <w:t>Annex II to the Implementing Regulation</w:t>
      </w:r>
      <w:r w:rsidR="00F03122">
        <w:rPr>
          <w:rFonts w:asciiTheme="minorHAnsi" w:hAnsiTheme="minorHAnsi" w:cstheme="minorHAnsi"/>
          <w:iCs/>
          <w:sz w:val="22"/>
          <w:szCs w:val="22"/>
          <w:lang w:val="en-IE" w:eastAsia="en-US"/>
        </w:rPr>
        <w:t xml:space="preserve"> available at</w:t>
      </w:r>
      <w:r w:rsidRPr="0090413E">
        <w:rPr>
          <w:rFonts w:asciiTheme="minorHAnsi" w:hAnsiTheme="minorHAnsi" w:cstheme="minorHAnsi"/>
          <w:iCs/>
          <w:sz w:val="22"/>
          <w:szCs w:val="22"/>
          <w:lang w:val="en-IE" w:eastAsia="en-US"/>
        </w:rPr>
        <w:t>:</w:t>
      </w:r>
      <w:r w:rsidR="00CA1C69">
        <w:rPr>
          <w:rFonts w:asciiTheme="minorHAnsi" w:hAnsiTheme="minorHAnsi" w:cstheme="minorHAnsi"/>
          <w:iCs/>
          <w:sz w:val="22"/>
          <w:szCs w:val="22"/>
          <w:lang w:val="en-IE" w:eastAsia="en-US"/>
        </w:rPr>
        <w:t xml:space="preserve">  </w:t>
      </w:r>
      <w:hyperlink r:id="rId10" w:history="1">
        <w:r w:rsidR="00EF2EC3" w:rsidRPr="00484FFB">
          <w:rPr>
            <w:rStyle w:val="Hyperlink"/>
            <w:rFonts w:asciiTheme="minorHAnsi" w:hAnsiTheme="minorHAnsi" w:cstheme="minorHAnsi"/>
            <w:iCs/>
            <w:sz w:val="22"/>
            <w:szCs w:val="22"/>
            <w:lang w:val="en-IE" w:eastAsia="en-US"/>
          </w:rPr>
          <w:t>https://eur-lex.europa.eu/legal-content/EN/TXT/?uri=uriserv:OJ.L_.2023.177.01.0001.01.ENG</w:t>
        </w:r>
      </w:hyperlink>
    </w:p>
    <w:p w14:paraId="7F8D3BA1" w14:textId="77777777" w:rsidR="00EF2EC3" w:rsidRDefault="00EF2EC3" w:rsidP="006B2825">
      <w:pPr>
        <w:rPr>
          <w:rFonts w:asciiTheme="minorHAnsi" w:hAnsiTheme="minorHAnsi" w:cstheme="minorHAnsi"/>
          <w:iCs/>
          <w:sz w:val="22"/>
          <w:szCs w:val="22"/>
          <w:lang w:val="en-IE" w:eastAsia="en-US"/>
        </w:rPr>
      </w:pPr>
    </w:p>
    <w:p w14:paraId="0EBBDCF3" w14:textId="77777777" w:rsidR="00EF2EC3" w:rsidRDefault="00EF2EC3" w:rsidP="006B2825">
      <w:pPr>
        <w:rPr>
          <w:rFonts w:asciiTheme="minorHAnsi" w:hAnsiTheme="minorHAnsi" w:cstheme="minorHAnsi"/>
          <w:iCs/>
          <w:sz w:val="22"/>
          <w:szCs w:val="22"/>
          <w:lang w:val="en-IE" w:eastAsia="en-US"/>
        </w:rPr>
      </w:pPr>
    </w:p>
    <w:p w14:paraId="1C2F3354" w14:textId="58ACEAE3" w:rsidR="00F03122" w:rsidRPr="006B2825" w:rsidRDefault="00593BBC" w:rsidP="006B2825">
      <w:pPr>
        <w:rPr>
          <w:rFonts w:asciiTheme="minorHAnsi" w:hAnsiTheme="minorHAnsi" w:cstheme="minorHAnsi"/>
          <w:iCs/>
          <w:sz w:val="22"/>
          <w:szCs w:val="22"/>
          <w:lang w:eastAsia="en-US"/>
        </w:rPr>
      </w:pPr>
      <w:r w:rsidRPr="006B2825">
        <w:rPr>
          <w:rFonts w:asciiTheme="minorHAnsi" w:hAnsiTheme="minorHAnsi" w:cstheme="minorHAnsi"/>
        </w:rPr>
        <w:t>A</w:t>
      </w:r>
      <w:r w:rsidR="00CA1C69" w:rsidRPr="006B2825">
        <w:rPr>
          <w:rFonts w:asciiTheme="minorHAnsi" w:hAnsiTheme="minorHAnsi" w:cstheme="minorHAnsi"/>
        </w:rPr>
        <w:t xml:space="preserve">lternatively, Applicants/Tenderers may use an online </w:t>
      </w:r>
      <w:r w:rsidR="006E3588" w:rsidRPr="006B2825">
        <w:rPr>
          <w:rFonts w:asciiTheme="minorHAnsi" w:hAnsiTheme="minorHAnsi" w:cstheme="minorHAnsi"/>
          <w:iCs/>
          <w:sz w:val="22"/>
          <w:szCs w:val="22"/>
          <w:lang w:eastAsia="en-US"/>
        </w:rPr>
        <w:t xml:space="preserve">version of the </w:t>
      </w:r>
      <w:r w:rsidR="00CA1C69" w:rsidRPr="006B2825">
        <w:rPr>
          <w:rFonts w:asciiTheme="minorHAnsi" w:hAnsiTheme="minorHAnsi" w:cstheme="minorHAnsi"/>
        </w:rPr>
        <w:t xml:space="preserve">form </w:t>
      </w:r>
      <w:r w:rsidRPr="006B2825">
        <w:rPr>
          <w:rFonts w:asciiTheme="minorHAnsi" w:hAnsiTheme="minorHAnsi" w:cstheme="minorHAnsi"/>
          <w:iCs/>
          <w:sz w:val="22"/>
          <w:szCs w:val="22"/>
          <w:lang w:eastAsia="en-US"/>
        </w:rPr>
        <w:t xml:space="preserve">provided by the European Commission </w:t>
      </w:r>
      <w:r w:rsidR="00CA1C69" w:rsidRPr="006B2825">
        <w:rPr>
          <w:rFonts w:asciiTheme="minorHAnsi" w:hAnsiTheme="minorHAnsi" w:cstheme="minorHAnsi"/>
        </w:rPr>
        <w:t xml:space="preserve">to </w:t>
      </w:r>
      <w:r w:rsidR="006E3588" w:rsidRPr="006B2825">
        <w:rPr>
          <w:rFonts w:asciiTheme="minorHAnsi" w:hAnsiTheme="minorHAnsi" w:cstheme="minorHAnsi"/>
          <w:iCs/>
          <w:sz w:val="22"/>
          <w:szCs w:val="22"/>
          <w:lang w:eastAsia="en-US"/>
        </w:rPr>
        <w:t>create a pdf form</w:t>
      </w:r>
      <w:r w:rsidRPr="006B2825">
        <w:rPr>
          <w:rFonts w:asciiTheme="minorHAnsi" w:hAnsiTheme="minorHAnsi" w:cstheme="minorHAnsi"/>
        </w:rPr>
        <w:t>. Further information is available at</w:t>
      </w:r>
      <w:r w:rsidR="00F03122" w:rsidRPr="006B2825">
        <w:rPr>
          <w:rFonts w:asciiTheme="minorHAnsi" w:hAnsiTheme="minorHAnsi" w:cstheme="minorHAnsi"/>
          <w:iCs/>
          <w:sz w:val="22"/>
          <w:szCs w:val="22"/>
          <w:lang w:eastAsia="en-US"/>
        </w:rPr>
        <w:t xml:space="preserve">: </w:t>
      </w:r>
      <w:r w:rsidRPr="006B2825">
        <w:rPr>
          <w:rFonts w:asciiTheme="minorHAnsi" w:hAnsiTheme="minorHAnsi" w:cstheme="minorHAnsi"/>
        </w:rPr>
        <w:t xml:space="preserve"> </w:t>
      </w:r>
      <w:r w:rsidR="00F03122" w:rsidRPr="006B2825">
        <w:rPr>
          <w:rFonts w:asciiTheme="minorHAnsi" w:hAnsiTheme="minorHAnsi" w:cstheme="minorHAnsi"/>
          <w:iCs/>
          <w:sz w:val="22"/>
          <w:szCs w:val="22"/>
          <w:lang w:eastAsia="en-US"/>
        </w:rPr>
        <w:fldChar w:fldCharType="begin"/>
      </w:r>
      <w:r w:rsidR="00F03122" w:rsidRPr="006B2825">
        <w:rPr>
          <w:rFonts w:asciiTheme="minorHAnsi" w:hAnsiTheme="minorHAnsi" w:cstheme="minorHAnsi"/>
          <w:iCs/>
          <w:sz w:val="22"/>
          <w:szCs w:val="22"/>
          <w:lang w:eastAsia="en-US"/>
        </w:rPr>
        <w:instrText xml:space="preserve"> HYPERLINK " </w:instrText>
      </w:r>
      <w:r w:rsidR="00F03122" w:rsidRPr="006B2825">
        <w:rPr>
          <w:rFonts w:asciiTheme="minorHAnsi" w:hAnsiTheme="minorHAnsi" w:cstheme="minorHAnsi"/>
        </w:rPr>
        <w:instrText>https://single-market-</w:instrText>
      </w:r>
    </w:p>
    <w:p w14:paraId="59D0DCAE" w14:textId="0079A696" w:rsidR="00F03122" w:rsidRPr="006B2825" w:rsidRDefault="00F03122" w:rsidP="006B2825">
      <w:pPr>
        <w:rPr>
          <w:rStyle w:val="Hyperlink"/>
          <w:rFonts w:asciiTheme="minorHAnsi" w:hAnsiTheme="minorHAnsi" w:cstheme="minorHAnsi"/>
        </w:rPr>
      </w:pPr>
      <w:r w:rsidRPr="006B2825">
        <w:rPr>
          <w:rFonts w:asciiTheme="minorHAnsi" w:hAnsiTheme="minorHAnsi" w:cstheme="minorHAnsi"/>
          <w:iCs/>
          <w:sz w:val="22"/>
          <w:szCs w:val="22"/>
          <w:lang w:eastAsia="en-US"/>
        </w:rPr>
        <w:instrText xml:space="preserve">" </w:instrText>
      </w:r>
      <w:r w:rsidRPr="006B2825">
        <w:rPr>
          <w:rFonts w:asciiTheme="minorHAnsi" w:hAnsiTheme="minorHAnsi" w:cstheme="minorHAnsi"/>
          <w:iCs/>
          <w:sz w:val="22"/>
          <w:szCs w:val="22"/>
          <w:lang w:eastAsia="en-US"/>
        </w:rPr>
      </w:r>
      <w:r w:rsidRPr="006B2825">
        <w:rPr>
          <w:rFonts w:asciiTheme="minorHAnsi" w:hAnsiTheme="minorHAnsi" w:cstheme="minorHAnsi"/>
          <w:iCs/>
          <w:sz w:val="22"/>
          <w:szCs w:val="22"/>
          <w:lang w:eastAsia="en-US"/>
        </w:rPr>
        <w:fldChar w:fldCharType="separate"/>
      </w:r>
      <w:r w:rsidRPr="006B2825">
        <w:rPr>
          <w:rStyle w:val="Hyperlink"/>
          <w:rFonts w:asciiTheme="minorHAnsi" w:hAnsiTheme="minorHAnsi" w:cstheme="minorHAnsi"/>
        </w:rPr>
        <w:t xml:space="preserve"> </w:t>
      </w:r>
    </w:p>
    <w:p w14:paraId="0A0D39D5" w14:textId="3CAEDDC5" w:rsidR="002831D4" w:rsidRPr="00BD15C0" w:rsidRDefault="00F03122">
      <w:pPr>
        <w:rPr>
          <w:rFonts w:asciiTheme="minorHAnsi" w:hAnsiTheme="minorHAnsi" w:cstheme="minorHAnsi"/>
          <w:iCs/>
          <w:sz w:val="22"/>
          <w:szCs w:val="22"/>
          <w:lang w:eastAsia="en-US"/>
        </w:rPr>
      </w:pPr>
      <w:r w:rsidRPr="006B2825">
        <w:rPr>
          <w:rFonts w:asciiTheme="minorHAnsi" w:hAnsiTheme="minorHAnsi" w:cstheme="minorHAnsi"/>
          <w:iCs/>
          <w:sz w:val="22"/>
          <w:szCs w:val="22"/>
          <w:lang w:eastAsia="en-US"/>
        </w:rPr>
        <w:fldChar w:fldCharType="end"/>
      </w:r>
    </w:p>
    <w:p w14:paraId="4D4BDB9E" w14:textId="30C5467D" w:rsidR="00F03122" w:rsidRPr="006B2825" w:rsidRDefault="00F03122">
      <w:pPr>
        <w:rPr>
          <w:rFonts w:asciiTheme="minorHAnsi" w:hAnsiTheme="minorHAnsi" w:cstheme="minorHAnsi"/>
          <w:sz w:val="22"/>
          <w:szCs w:val="22"/>
        </w:rPr>
      </w:pPr>
      <w:hyperlink r:id="rId11" w:history="1">
        <w:r w:rsidRPr="006B2825">
          <w:rPr>
            <w:rStyle w:val="Hyperlink"/>
            <w:rFonts w:asciiTheme="minorHAnsi" w:hAnsiTheme="minorHAnsi" w:cstheme="minorHAnsi"/>
            <w:sz w:val="22"/>
            <w:szCs w:val="22"/>
          </w:rPr>
          <w:t>Foreign Subsidies Regulation - European Commission (europa.eu)</w:t>
        </w:r>
      </w:hyperlink>
    </w:p>
    <w:p w14:paraId="30EC3991" w14:textId="77777777" w:rsidR="00BD15C0" w:rsidRPr="006B2825" w:rsidRDefault="00BD15C0">
      <w:pPr>
        <w:rPr>
          <w:rFonts w:asciiTheme="minorHAnsi" w:hAnsiTheme="minorHAnsi" w:cstheme="minorHAnsi"/>
          <w:iCs/>
          <w:sz w:val="22"/>
          <w:szCs w:val="22"/>
          <w:u w:val="single"/>
          <w:lang w:eastAsia="en-US"/>
        </w:rPr>
      </w:pPr>
    </w:p>
    <w:p w14:paraId="69C117C9" w14:textId="62124199" w:rsidR="006B2825" w:rsidRDefault="00981251">
      <w:pPr>
        <w:rPr>
          <w:sz w:val="22"/>
          <w:szCs w:val="22"/>
        </w:rPr>
      </w:pPr>
      <w:r w:rsidRPr="006B2825">
        <w:rPr>
          <w:rFonts w:asciiTheme="minorHAnsi" w:hAnsiTheme="minorHAnsi" w:cstheme="minorHAnsi"/>
          <w:b/>
          <w:iCs/>
          <w:sz w:val="22"/>
          <w:szCs w:val="22"/>
          <w:lang w:eastAsia="en-US"/>
        </w:rPr>
        <w:t>[END</w:t>
      </w:r>
      <w:r w:rsidR="0049744A" w:rsidRPr="00BD15C0">
        <w:rPr>
          <w:rFonts w:asciiTheme="minorHAnsi" w:hAnsiTheme="minorHAnsi" w:cstheme="minorHAnsi"/>
          <w:b/>
          <w:iCs/>
          <w:sz w:val="22"/>
          <w:szCs w:val="22"/>
          <w:lang w:eastAsia="en-US"/>
        </w:rPr>
        <w:t>.</w:t>
      </w:r>
      <w:r w:rsidRPr="006B2825">
        <w:rPr>
          <w:rFonts w:asciiTheme="minorHAnsi" w:hAnsiTheme="minorHAnsi" w:cstheme="minorHAnsi"/>
          <w:b/>
          <w:iCs/>
          <w:sz w:val="22"/>
          <w:szCs w:val="22"/>
          <w:lang w:eastAsia="en-US"/>
        </w:rPr>
        <w:t>]</w:t>
      </w:r>
    </w:p>
    <w:p w14:paraId="720D545B" w14:textId="77777777" w:rsidR="006B2825" w:rsidRPr="006B2825" w:rsidRDefault="006B2825" w:rsidP="006B2825">
      <w:pPr>
        <w:rPr>
          <w:sz w:val="22"/>
          <w:szCs w:val="22"/>
        </w:rPr>
      </w:pPr>
    </w:p>
    <w:p w14:paraId="75DBB965" w14:textId="77777777" w:rsidR="006B2825" w:rsidRPr="006B2825" w:rsidRDefault="006B2825" w:rsidP="006B2825">
      <w:pPr>
        <w:rPr>
          <w:sz w:val="22"/>
          <w:szCs w:val="22"/>
        </w:rPr>
      </w:pPr>
    </w:p>
    <w:p w14:paraId="66A9FF3F" w14:textId="77777777" w:rsidR="006B2825" w:rsidRPr="006B2825" w:rsidRDefault="006B2825" w:rsidP="006B2825">
      <w:pPr>
        <w:rPr>
          <w:sz w:val="22"/>
          <w:szCs w:val="22"/>
        </w:rPr>
      </w:pPr>
    </w:p>
    <w:p w14:paraId="247D2ABF" w14:textId="77777777" w:rsidR="006B2825" w:rsidRPr="006B2825" w:rsidRDefault="006B2825" w:rsidP="006B2825">
      <w:pPr>
        <w:rPr>
          <w:sz w:val="22"/>
          <w:szCs w:val="22"/>
        </w:rPr>
      </w:pPr>
    </w:p>
    <w:p w14:paraId="010C03CC" w14:textId="77777777" w:rsidR="006B2825" w:rsidRPr="006B2825" w:rsidRDefault="006B2825" w:rsidP="006B2825">
      <w:pPr>
        <w:rPr>
          <w:sz w:val="22"/>
          <w:szCs w:val="22"/>
        </w:rPr>
      </w:pPr>
    </w:p>
    <w:p w14:paraId="513AD522" w14:textId="77777777" w:rsidR="006B2825" w:rsidRPr="006B2825" w:rsidRDefault="006B2825" w:rsidP="006B2825">
      <w:pPr>
        <w:rPr>
          <w:sz w:val="22"/>
          <w:szCs w:val="22"/>
        </w:rPr>
      </w:pPr>
    </w:p>
    <w:p w14:paraId="3DF9D953" w14:textId="77777777" w:rsidR="006B2825" w:rsidRPr="006B2825" w:rsidRDefault="006B2825" w:rsidP="006B2825">
      <w:pPr>
        <w:rPr>
          <w:sz w:val="22"/>
          <w:szCs w:val="22"/>
        </w:rPr>
      </w:pPr>
    </w:p>
    <w:p w14:paraId="383737DA" w14:textId="77777777" w:rsidR="006B2825" w:rsidRPr="006B2825" w:rsidRDefault="006B2825" w:rsidP="006B2825">
      <w:pPr>
        <w:rPr>
          <w:sz w:val="22"/>
          <w:szCs w:val="22"/>
        </w:rPr>
      </w:pPr>
    </w:p>
    <w:p w14:paraId="2D72BD9F" w14:textId="77777777" w:rsidR="006B2825" w:rsidRPr="006B2825" w:rsidRDefault="006B2825" w:rsidP="006B2825">
      <w:pPr>
        <w:rPr>
          <w:sz w:val="22"/>
          <w:szCs w:val="22"/>
        </w:rPr>
      </w:pPr>
    </w:p>
    <w:p w14:paraId="505408A9" w14:textId="77777777" w:rsidR="006B2825" w:rsidRPr="006B2825" w:rsidRDefault="006B2825" w:rsidP="006B2825">
      <w:pPr>
        <w:rPr>
          <w:sz w:val="22"/>
          <w:szCs w:val="22"/>
        </w:rPr>
      </w:pPr>
    </w:p>
    <w:p w14:paraId="378A04B3" w14:textId="77777777" w:rsidR="006B2825" w:rsidRPr="006B2825" w:rsidRDefault="006B2825" w:rsidP="006B2825">
      <w:pPr>
        <w:rPr>
          <w:sz w:val="22"/>
          <w:szCs w:val="22"/>
        </w:rPr>
      </w:pPr>
    </w:p>
    <w:p w14:paraId="59AA0839" w14:textId="77777777" w:rsidR="006B2825" w:rsidRPr="006B2825" w:rsidRDefault="006B2825" w:rsidP="006B2825">
      <w:pPr>
        <w:rPr>
          <w:sz w:val="22"/>
          <w:szCs w:val="22"/>
        </w:rPr>
      </w:pPr>
    </w:p>
    <w:p w14:paraId="06C2760B" w14:textId="77777777" w:rsidR="006B2825" w:rsidRPr="006B2825" w:rsidRDefault="006B2825" w:rsidP="006B2825">
      <w:pPr>
        <w:rPr>
          <w:sz w:val="22"/>
          <w:szCs w:val="22"/>
        </w:rPr>
      </w:pPr>
    </w:p>
    <w:p w14:paraId="716B6B9D" w14:textId="6D37293C" w:rsidR="006B2825" w:rsidRDefault="006B2825" w:rsidP="006B2825">
      <w:pPr>
        <w:rPr>
          <w:sz w:val="22"/>
          <w:szCs w:val="22"/>
        </w:rPr>
      </w:pPr>
    </w:p>
    <w:p w14:paraId="7835C733" w14:textId="4227D8A7" w:rsidR="00E86BC4" w:rsidRPr="006B2825" w:rsidRDefault="006B2825" w:rsidP="006B2825">
      <w:pPr>
        <w:tabs>
          <w:tab w:val="left" w:pos="5569"/>
        </w:tabs>
        <w:rPr>
          <w:sz w:val="22"/>
          <w:szCs w:val="22"/>
        </w:rPr>
      </w:pPr>
      <w:r>
        <w:rPr>
          <w:sz w:val="22"/>
          <w:szCs w:val="22"/>
        </w:rPr>
        <w:tab/>
      </w:r>
    </w:p>
    <w:sectPr w:rsidR="00E86BC4" w:rsidRPr="006B2825" w:rsidSect="0070701F">
      <w:headerReference w:type="even" r:id="rId12"/>
      <w:headerReference w:type="default" r:id="rId13"/>
      <w:footerReference w:type="default" r:id="rId14"/>
      <w:pgSz w:w="11906" w:h="16838"/>
      <w:pgMar w:top="1440" w:right="1440" w:bottom="1440"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ED550" w14:textId="77777777" w:rsidR="00E11AFD" w:rsidRDefault="00E11AFD" w:rsidP="00200E7B">
      <w:r>
        <w:separator/>
      </w:r>
    </w:p>
  </w:endnote>
  <w:endnote w:type="continuationSeparator" w:id="0">
    <w:p w14:paraId="19A3E0B5" w14:textId="77777777" w:rsidR="00E11AFD" w:rsidRDefault="00E11AFD" w:rsidP="00200E7B">
      <w:r>
        <w:continuationSeparator/>
      </w:r>
    </w:p>
  </w:endnote>
  <w:endnote w:type="continuationNotice" w:id="1">
    <w:p w14:paraId="21F83871" w14:textId="77777777" w:rsidR="00E11AFD" w:rsidRDefault="00E11A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2064479619"/>
      <w:docPartObj>
        <w:docPartGallery w:val="Page Numbers (Bottom of Page)"/>
        <w:docPartUnique/>
      </w:docPartObj>
    </w:sdtPr>
    <w:sdtEndPr>
      <w:rPr>
        <w:noProof/>
        <w:sz w:val="22"/>
        <w:szCs w:val="22"/>
      </w:rPr>
    </w:sdtEndPr>
    <w:sdtContent>
      <w:p w14:paraId="73B573C2" w14:textId="03C1DE89" w:rsidR="00A877B4" w:rsidRPr="006B2825" w:rsidRDefault="00A877B4" w:rsidP="006B2825">
        <w:pPr>
          <w:pStyle w:val="Footer"/>
          <w:rPr>
            <w:rFonts w:asciiTheme="minorHAnsi" w:hAnsiTheme="minorHAnsi" w:cstheme="minorHAnsi"/>
            <w:sz w:val="22"/>
            <w:szCs w:val="22"/>
          </w:rPr>
        </w:pPr>
        <w:r w:rsidRPr="006B2825">
          <w:rPr>
            <w:rFonts w:asciiTheme="minorHAnsi" w:hAnsiTheme="minorHAnsi" w:cstheme="minorHAnsi"/>
          </w:rPr>
          <w:t>F</w:t>
        </w:r>
        <w:r>
          <w:rPr>
            <w:rFonts w:asciiTheme="minorHAnsi" w:hAnsiTheme="minorHAnsi" w:cstheme="minorHAnsi"/>
          </w:rPr>
          <w:t xml:space="preserve">SR </w:t>
        </w:r>
        <w:r w:rsidRPr="006B2825">
          <w:rPr>
            <w:rFonts w:asciiTheme="minorHAnsi" w:hAnsiTheme="minorHAnsi" w:cstheme="minorHAnsi"/>
            <w:sz w:val="22"/>
            <w:szCs w:val="22"/>
          </w:rPr>
          <w:t>A</w:t>
        </w:r>
        <w:r>
          <w:rPr>
            <w:rFonts w:asciiTheme="minorHAnsi" w:hAnsiTheme="minorHAnsi" w:cstheme="minorHAnsi"/>
            <w:sz w:val="22"/>
            <w:szCs w:val="22"/>
          </w:rPr>
          <w:t>nnex</w:t>
        </w:r>
        <w:r w:rsidRPr="006B2825">
          <w:rPr>
            <w:rFonts w:asciiTheme="minorHAnsi" w:hAnsiTheme="minorHAnsi" w:cstheme="minorHAnsi"/>
            <w:sz w:val="22"/>
            <w:szCs w:val="22"/>
          </w:rPr>
          <w:t xml:space="preserve"> v1.0 </w:t>
        </w:r>
        <w:r w:rsidR="007C3BF7">
          <w:rPr>
            <w:rFonts w:asciiTheme="minorHAnsi" w:hAnsiTheme="minorHAnsi" w:cstheme="minorHAnsi"/>
            <w:sz w:val="22"/>
            <w:szCs w:val="22"/>
          </w:rPr>
          <w:t>04</w:t>
        </w:r>
        <w:r w:rsidRPr="006B2825">
          <w:rPr>
            <w:rFonts w:asciiTheme="minorHAnsi" w:hAnsiTheme="minorHAnsi" w:cstheme="minorHAnsi"/>
            <w:sz w:val="22"/>
            <w:szCs w:val="22"/>
          </w:rPr>
          <w:t>/</w:t>
        </w:r>
        <w:r w:rsidR="006B2825">
          <w:rPr>
            <w:rFonts w:asciiTheme="minorHAnsi" w:hAnsiTheme="minorHAnsi" w:cstheme="minorHAnsi"/>
            <w:sz w:val="22"/>
            <w:szCs w:val="22"/>
          </w:rPr>
          <w:t>1</w:t>
        </w:r>
        <w:r w:rsidR="007C3BF7">
          <w:rPr>
            <w:rFonts w:asciiTheme="minorHAnsi" w:hAnsiTheme="minorHAnsi" w:cstheme="minorHAnsi"/>
            <w:sz w:val="22"/>
            <w:szCs w:val="22"/>
          </w:rPr>
          <w:t>1</w:t>
        </w:r>
        <w:r w:rsidRPr="006B2825">
          <w:rPr>
            <w:rFonts w:asciiTheme="minorHAnsi" w:hAnsiTheme="minorHAnsi" w:cstheme="minorHAnsi"/>
            <w:sz w:val="22"/>
            <w:szCs w:val="22"/>
          </w:rPr>
          <w:t>/2024</w:t>
        </w:r>
      </w:p>
    </w:sdtContent>
  </w:sdt>
  <w:p w14:paraId="1643507D" w14:textId="77777777" w:rsidR="00A877B4" w:rsidRDefault="00A877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155D9" w14:textId="77777777" w:rsidR="00E11AFD" w:rsidRDefault="00E11AFD" w:rsidP="00200E7B">
      <w:r>
        <w:separator/>
      </w:r>
    </w:p>
  </w:footnote>
  <w:footnote w:type="continuationSeparator" w:id="0">
    <w:p w14:paraId="136B6764" w14:textId="77777777" w:rsidR="00E11AFD" w:rsidRDefault="00E11AFD" w:rsidP="00200E7B">
      <w:r>
        <w:continuationSeparator/>
      </w:r>
    </w:p>
  </w:footnote>
  <w:footnote w:type="continuationNotice" w:id="1">
    <w:p w14:paraId="7200B49C" w14:textId="77777777" w:rsidR="00E11AFD" w:rsidRDefault="00E11AFD"/>
  </w:footnote>
  <w:footnote w:id="2">
    <w:p w14:paraId="1F9B78FF" w14:textId="4E5925CE" w:rsidR="007C3BF7" w:rsidRPr="008D6B2D" w:rsidRDefault="007C3BF7">
      <w:pPr>
        <w:pStyle w:val="FootnoteText"/>
        <w:rPr>
          <w:rFonts w:asciiTheme="minorHAnsi" w:hAnsiTheme="minorHAnsi" w:cstheme="minorHAnsi"/>
          <w:sz w:val="18"/>
          <w:lang w:val="en-IE"/>
        </w:rPr>
      </w:pPr>
      <w:r w:rsidRPr="008D6B2D">
        <w:rPr>
          <w:rStyle w:val="FootnoteReference"/>
          <w:rFonts w:asciiTheme="minorHAnsi" w:hAnsiTheme="minorHAnsi" w:cstheme="minorHAnsi"/>
          <w:sz w:val="18"/>
        </w:rPr>
        <w:footnoteRef/>
      </w:r>
      <w:r w:rsidRPr="008D6B2D">
        <w:rPr>
          <w:rFonts w:asciiTheme="minorHAnsi" w:hAnsiTheme="minorHAnsi" w:cstheme="minorHAnsi"/>
          <w:sz w:val="18"/>
        </w:rPr>
        <w:t xml:space="preserve"> </w:t>
      </w:r>
      <w:r w:rsidRPr="008D6B2D">
        <w:rPr>
          <w:rFonts w:asciiTheme="minorHAnsi" w:hAnsiTheme="minorHAnsi" w:cstheme="minorHAnsi"/>
          <w:sz w:val="18"/>
          <w:lang w:val="en-IE"/>
        </w:rPr>
        <w:t>This may apply to Reserved Specialist tenders.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6167C" w14:textId="6A35C76B" w:rsidR="00A877B4" w:rsidRDefault="00A877B4">
    <w:pPr>
      <w:pStyle w:val="Header"/>
    </w:pPr>
    <w:r>
      <w:rPr>
        <w:noProof/>
        <w:lang w:val="en-IE" w:eastAsia="en-IE"/>
      </w:rPr>
      <mc:AlternateContent>
        <mc:Choice Requires="wps">
          <w:drawing>
            <wp:anchor distT="0" distB="0" distL="114300" distR="114300" simplePos="0" relativeHeight="251658240" behindDoc="1" locked="0" layoutInCell="0" allowOverlap="1" wp14:anchorId="512FB1DE" wp14:editId="2D646FD3">
              <wp:simplePos x="0" y="0"/>
              <wp:positionH relativeFrom="margin">
                <wp:align>center</wp:align>
              </wp:positionH>
              <wp:positionV relativeFrom="margin">
                <wp:align>center</wp:align>
              </wp:positionV>
              <wp:extent cx="5772150" cy="2308860"/>
              <wp:effectExtent l="0" t="1466850" r="0" b="13296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7F0049" w14:textId="77777777" w:rsidR="00A877B4" w:rsidRDefault="00A877B4" w:rsidP="008D3B8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2FB1DE" id="_x0000_t202" coordsize="21600,21600" o:spt="202" path="m,l,21600r21600,l21600,xe">
              <v:stroke joinstyle="miter"/>
              <v:path gradientshapeok="t" o:connecttype="rect"/>
            </v:shapetype>
            <v:shape id="Text Box 2" o:spid="_x0000_s1026" type="#_x0000_t202" style="position:absolute;margin-left:0;margin-top:0;width:454.5pt;height:181.8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" o:allowincell="f" filled="f" stroked="f">
              <v:stroke joinstyle="round"/>
              <o:lock v:ext="edit" shapetype="t"/>
              <v:textbox style="mso-fit-shape-to-text:t">
                <w:txbxContent>
                  <w:p w14:paraId="547F0049" w14:textId="77777777" w:rsidR="00A877B4" w:rsidRDefault="00A877B4" w:rsidP="008D3B8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FEDFC" w14:textId="2C3047C9" w:rsidR="00A877B4" w:rsidRDefault="00A877B4">
    <w:pPr>
      <w:pStyle w:val="Header"/>
    </w:pPr>
    <w:r>
      <w:rPr>
        <w:noProof/>
        <w:lang w:val="en-IE" w:eastAsia="en-IE"/>
      </w:rPr>
      <mc:AlternateContent>
        <mc:Choice Requires="wps">
          <w:drawing>
            <wp:anchor distT="0" distB="0" distL="114300" distR="114300" simplePos="0" relativeHeight="251658241" behindDoc="1" locked="0" layoutInCell="0" allowOverlap="1" wp14:anchorId="2DC771C8" wp14:editId="323CEEE2">
              <wp:simplePos x="0" y="0"/>
              <wp:positionH relativeFrom="margin">
                <wp:align>center</wp:align>
              </wp:positionH>
              <wp:positionV relativeFrom="margin">
                <wp:align>center</wp:align>
              </wp:positionV>
              <wp:extent cx="5772150" cy="2308860"/>
              <wp:effectExtent l="0" t="1466850" r="0" b="13296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199239D" w14:textId="77777777" w:rsidR="00A877B4" w:rsidRDefault="00A877B4" w:rsidP="008D3B8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DC771C8" id="_x0000_t202" coordsize="21600,21600" o:spt="202" path="m,l,21600r21600,l21600,xe">
              <v:stroke joinstyle="miter"/>
              <v:path gradientshapeok="t" o:connecttype="rect"/>
            </v:shapetype>
            <v:shape id="Text Box 1" o:spid="_x0000_s1027" type="#_x0000_t202" style="position:absolute;margin-left:0;margin-top:0;width:454.5pt;height:181.8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i529g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" o:allowincell="f" filled="f" stroked="f">
              <v:stroke joinstyle="round"/>
              <o:lock v:ext="edit" shapetype="t"/>
              <v:textbox style="mso-fit-shape-to-text:t">
                <w:txbxContent>
                  <w:p w14:paraId="1199239D" w14:textId="77777777" w:rsidR="00A877B4" w:rsidRDefault="00A877B4" w:rsidP="008D3B8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6D1B"/>
    <w:multiLevelType w:val="multilevel"/>
    <w:tmpl w:val="AD229DB6"/>
    <w:lvl w:ilvl="0">
      <w:start w:val="1"/>
      <w:numFmt w:val="lowerLetter"/>
      <w:lvlText w:val="%1)"/>
      <w:lvlJc w:val="left"/>
      <w:pPr>
        <w:ind w:left="432" w:hanging="432"/>
      </w:pPr>
      <w:rPr>
        <w:rFonts w:hint="default"/>
      </w:rPr>
    </w:lvl>
    <w:lvl w:ilvl="1">
      <w:start w:val="1"/>
      <w:numFmt w:val="decimal"/>
      <w:lvlText w:val="%1.%2"/>
      <w:lvlJc w:val="left"/>
      <w:pPr>
        <w:ind w:left="3128"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4554713"/>
    <w:multiLevelType w:val="hybridMultilevel"/>
    <w:tmpl w:val="C14E880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555AC9"/>
    <w:multiLevelType w:val="hybridMultilevel"/>
    <w:tmpl w:val="3AB812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32773FF9"/>
    <w:multiLevelType w:val="hybridMultilevel"/>
    <w:tmpl w:val="D980B62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3F696887"/>
    <w:multiLevelType w:val="multilevel"/>
    <w:tmpl w:val="AD229DB6"/>
    <w:lvl w:ilvl="0">
      <w:start w:val="1"/>
      <w:numFmt w:val="lowerLetter"/>
      <w:lvlText w:val="%1)"/>
      <w:lvlJc w:val="left"/>
      <w:pPr>
        <w:ind w:left="432" w:hanging="432"/>
      </w:pPr>
      <w:rPr>
        <w:rFonts w:hint="default"/>
      </w:rPr>
    </w:lvl>
    <w:lvl w:ilvl="1">
      <w:start w:val="1"/>
      <w:numFmt w:val="decimal"/>
      <w:lvlText w:val="%1.%2"/>
      <w:lvlJc w:val="left"/>
      <w:pPr>
        <w:ind w:left="3128"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8E40FB"/>
    <w:multiLevelType w:val="hybridMultilevel"/>
    <w:tmpl w:val="FB582C14"/>
    <w:lvl w:ilvl="0" w:tplc="33D4BC0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67587B1D"/>
    <w:multiLevelType w:val="multilevel"/>
    <w:tmpl w:val="92C64C2E"/>
    <w:lvl w:ilvl="0">
      <w:start w:val="1"/>
      <w:numFmt w:val="bullet"/>
      <w:lvlText w:val=""/>
      <w:lvlJc w:val="left"/>
      <w:pPr>
        <w:ind w:left="432" w:hanging="432"/>
      </w:pPr>
      <w:rPr>
        <w:rFonts w:ascii="Symbol" w:hAnsi="Symbol" w:hint="default"/>
      </w:rPr>
    </w:lvl>
    <w:lvl w:ilvl="1">
      <w:start w:val="1"/>
      <w:numFmt w:val="decimal"/>
      <w:lvlText w:val="%1.%2"/>
      <w:lvlJc w:val="left"/>
      <w:pPr>
        <w:ind w:left="3128"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CD202CC"/>
    <w:multiLevelType w:val="hybridMultilevel"/>
    <w:tmpl w:val="F26EE9E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758D762B"/>
    <w:multiLevelType w:val="hybridMultilevel"/>
    <w:tmpl w:val="5A80464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75BA3170"/>
    <w:multiLevelType w:val="hybridMultilevel"/>
    <w:tmpl w:val="42227AF6"/>
    <w:lvl w:ilvl="0" w:tplc="17BA824C">
      <w:start w:val="1"/>
      <w:numFmt w:val="lowerRoman"/>
      <w:lvlText w:val="(%1)"/>
      <w:lvlJc w:val="left"/>
      <w:pPr>
        <w:ind w:left="850" w:hanging="490"/>
      </w:pPr>
      <w:rPr>
        <w:rFonts w:cstheme="minorHAns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9249988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067682">
    <w:abstractNumId w:val="6"/>
  </w:num>
  <w:num w:numId="3" w16cid:durableId="868032303">
    <w:abstractNumId w:val="7"/>
  </w:num>
  <w:num w:numId="4" w16cid:durableId="382213514">
    <w:abstractNumId w:val="1"/>
  </w:num>
  <w:num w:numId="5" w16cid:durableId="1177885933">
    <w:abstractNumId w:val="3"/>
  </w:num>
  <w:num w:numId="6" w16cid:durableId="146242281">
    <w:abstractNumId w:val="8"/>
  </w:num>
  <w:num w:numId="7" w16cid:durableId="1464038470">
    <w:abstractNumId w:val="9"/>
  </w:num>
  <w:num w:numId="8" w16cid:durableId="640311226">
    <w:abstractNumId w:val="2"/>
  </w:num>
  <w:num w:numId="9" w16cid:durableId="87316737">
    <w:abstractNumId w:val="5"/>
  </w:num>
  <w:num w:numId="10" w16cid:durableId="535780888">
    <w:abstractNumId w:val="4"/>
  </w:num>
  <w:num w:numId="11" w16cid:durableId="2014725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eyPGEQjoVs8b8pcDJhg1RJv+DJTJ1LS4DmDOuaG0BPKbXFsAH+9ThXhmRNXm2DrwH5FFleLwp6GR3EyaNIYMdQ==" w:salt="EXcH7mDAdJv7PZkXk/2PD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E7B"/>
    <w:rsid w:val="00017FE0"/>
    <w:rsid w:val="000627EA"/>
    <w:rsid w:val="000B0815"/>
    <w:rsid w:val="000B7230"/>
    <w:rsid w:val="000C68B1"/>
    <w:rsid w:val="000D5BD9"/>
    <w:rsid w:val="001C1D0B"/>
    <w:rsid w:val="001D7D68"/>
    <w:rsid w:val="001F6FBF"/>
    <w:rsid w:val="00200E7B"/>
    <w:rsid w:val="0021044E"/>
    <w:rsid w:val="002831D4"/>
    <w:rsid w:val="002A7487"/>
    <w:rsid w:val="002B10C8"/>
    <w:rsid w:val="002F15DC"/>
    <w:rsid w:val="00303EEA"/>
    <w:rsid w:val="00343D78"/>
    <w:rsid w:val="0034418C"/>
    <w:rsid w:val="00352226"/>
    <w:rsid w:val="00354D98"/>
    <w:rsid w:val="00374505"/>
    <w:rsid w:val="003845F7"/>
    <w:rsid w:val="003E1C46"/>
    <w:rsid w:val="003E6551"/>
    <w:rsid w:val="0049744A"/>
    <w:rsid w:val="004E468C"/>
    <w:rsid w:val="004F26F9"/>
    <w:rsid w:val="004F63D2"/>
    <w:rsid w:val="00523303"/>
    <w:rsid w:val="005243BE"/>
    <w:rsid w:val="00575CDA"/>
    <w:rsid w:val="00577449"/>
    <w:rsid w:val="00593BBC"/>
    <w:rsid w:val="005A58FE"/>
    <w:rsid w:val="005D263E"/>
    <w:rsid w:val="00602573"/>
    <w:rsid w:val="00653282"/>
    <w:rsid w:val="006565BC"/>
    <w:rsid w:val="00684AFE"/>
    <w:rsid w:val="006B2825"/>
    <w:rsid w:val="006E3588"/>
    <w:rsid w:val="006E3CC5"/>
    <w:rsid w:val="006E56EB"/>
    <w:rsid w:val="0070701F"/>
    <w:rsid w:val="00710AF6"/>
    <w:rsid w:val="007177E2"/>
    <w:rsid w:val="00771171"/>
    <w:rsid w:val="00774C3E"/>
    <w:rsid w:val="00790370"/>
    <w:rsid w:val="007915A4"/>
    <w:rsid w:val="007C3BF7"/>
    <w:rsid w:val="007F132E"/>
    <w:rsid w:val="00812423"/>
    <w:rsid w:val="008A4E97"/>
    <w:rsid w:val="008D3B83"/>
    <w:rsid w:val="008D6B2D"/>
    <w:rsid w:val="00922F79"/>
    <w:rsid w:val="00956B41"/>
    <w:rsid w:val="00962DF6"/>
    <w:rsid w:val="00965839"/>
    <w:rsid w:val="00981251"/>
    <w:rsid w:val="009C661D"/>
    <w:rsid w:val="009E5CC9"/>
    <w:rsid w:val="00A17523"/>
    <w:rsid w:val="00A472F1"/>
    <w:rsid w:val="00A5240F"/>
    <w:rsid w:val="00A877B4"/>
    <w:rsid w:val="00A928DA"/>
    <w:rsid w:val="00AE68E8"/>
    <w:rsid w:val="00AF3594"/>
    <w:rsid w:val="00B10212"/>
    <w:rsid w:val="00B23527"/>
    <w:rsid w:val="00B458C7"/>
    <w:rsid w:val="00B57BA5"/>
    <w:rsid w:val="00B61957"/>
    <w:rsid w:val="00BA635D"/>
    <w:rsid w:val="00BA69F4"/>
    <w:rsid w:val="00BD15C0"/>
    <w:rsid w:val="00BE24DD"/>
    <w:rsid w:val="00BE6446"/>
    <w:rsid w:val="00C01FE5"/>
    <w:rsid w:val="00C374A7"/>
    <w:rsid w:val="00C57F4C"/>
    <w:rsid w:val="00CA1C69"/>
    <w:rsid w:val="00CC6117"/>
    <w:rsid w:val="00D02AB5"/>
    <w:rsid w:val="00D51629"/>
    <w:rsid w:val="00D807D8"/>
    <w:rsid w:val="00D944A8"/>
    <w:rsid w:val="00DA2BCA"/>
    <w:rsid w:val="00DA3ADB"/>
    <w:rsid w:val="00DD47A7"/>
    <w:rsid w:val="00E11AFD"/>
    <w:rsid w:val="00E23DFF"/>
    <w:rsid w:val="00E663A6"/>
    <w:rsid w:val="00E86BC4"/>
    <w:rsid w:val="00EF2EC3"/>
    <w:rsid w:val="00F02E3D"/>
    <w:rsid w:val="00F03122"/>
    <w:rsid w:val="00F21F46"/>
    <w:rsid w:val="00F50875"/>
    <w:rsid w:val="00F64A39"/>
    <w:rsid w:val="00F92342"/>
    <w:rsid w:val="00FA107F"/>
    <w:rsid w:val="00FA5EF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BEA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E7B"/>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60257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0257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aliases w:val="Map Title"/>
    <w:basedOn w:val="Normal"/>
    <w:next w:val="Normal"/>
    <w:link w:val="Heading4Char"/>
    <w:unhideWhenUsed/>
    <w:qFormat/>
    <w:rsid w:val="00200E7B"/>
    <w:pPr>
      <w:outlineLvl w:val="3"/>
    </w:pPr>
    <w:rPr>
      <w:rFonts w:ascii="Arial" w:hAnsi="Arial"/>
      <w:color w:val="FF0000"/>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Map Title Char"/>
    <w:basedOn w:val="DefaultParagraphFont"/>
    <w:link w:val="Heading4"/>
    <w:rsid w:val="00200E7B"/>
    <w:rPr>
      <w:rFonts w:ascii="Arial" w:eastAsia="Times New Roman" w:hAnsi="Arial" w:cs="Times New Roman"/>
      <w:color w:val="FF0000"/>
      <w:sz w:val="32"/>
      <w:szCs w:val="32"/>
      <w:lang w:val="en-US"/>
    </w:rPr>
  </w:style>
  <w:style w:type="paragraph" w:styleId="BodyText">
    <w:name w:val="Body Text"/>
    <w:basedOn w:val="Normal"/>
    <w:link w:val="BodyTextChar"/>
    <w:semiHidden/>
    <w:unhideWhenUsed/>
    <w:rsid w:val="00200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semiHidden/>
    <w:rsid w:val="00200E7B"/>
    <w:rPr>
      <w:rFonts w:ascii="Courier New" w:eastAsia="Times New Roman" w:hAnsi="Courier New" w:cs="Times New Roman"/>
      <w:color w:val="000000"/>
      <w:sz w:val="24"/>
      <w:szCs w:val="20"/>
      <w:lang w:val="en-GB"/>
    </w:rPr>
  </w:style>
  <w:style w:type="paragraph" w:styleId="Header">
    <w:name w:val="header"/>
    <w:basedOn w:val="Normal"/>
    <w:link w:val="HeaderChar"/>
    <w:uiPriority w:val="99"/>
    <w:unhideWhenUsed/>
    <w:rsid w:val="00200E7B"/>
    <w:pPr>
      <w:tabs>
        <w:tab w:val="center" w:pos="4513"/>
        <w:tab w:val="right" w:pos="9026"/>
      </w:tabs>
    </w:pPr>
  </w:style>
  <w:style w:type="character" w:customStyle="1" w:styleId="HeaderChar">
    <w:name w:val="Header Char"/>
    <w:basedOn w:val="DefaultParagraphFont"/>
    <w:link w:val="Header"/>
    <w:uiPriority w:val="99"/>
    <w:rsid w:val="00200E7B"/>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200E7B"/>
    <w:pPr>
      <w:tabs>
        <w:tab w:val="center" w:pos="4513"/>
        <w:tab w:val="right" w:pos="9026"/>
      </w:tabs>
    </w:pPr>
  </w:style>
  <w:style w:type="character" w:customStyle="1" w:styleId="FooterChar">
    <w:name w:val="Footer Char"/>
    <w:basedOn w:val="DefaultParagraphFont"/>
    <w:link w:val="Footer"/>
    <w:uiPriority w:val="99"/>
    <w:rsid w:val="00200E7B"/>
    <w:rPr>
      <w:rFonts w:ascii="Times New Roman" w:eastAsia="Times New Roman" w:hAnsi="Times New Roman" w:cs="Times New Roman"/>
      <w:sz w:val="24"/>
      <w:szCs w:val="24"/>
      <w:lang w:val="en-GB" w:eastAsia="en-GB"/>
    </w:rPr>
  </w:style>
  <w:style w:type="character" w:styleId="Hyperlink">
    <w:name w:val="Hyperlink"/>
    <w:basedOn w:val="DefaultParagraphFont"/>
    <w:uiPriority w:val="99"/>
    <w:unhideWhenUsed/>
    <w:rsid w:val="00C01FE5"/>
    <w:rPr>
      <w:color w:val="0563C1"/>
      <w:u w:val="single"/>
    </w:rPr>
  </w:style>
  <w:style w:type="paragraph" w:styleId="FootnoteText">
    <w:name w:val="footnote text"/>
    <w:basedOn w:val="Normal"/>
    <w:link w:val="FootnoteTextChar"/>
    <w:uiPriority w:val="99"/>
    <w:semiHidden/>
    <w:unhideWhenUsed/>
    <w:rsid w:val="00575CDA"/>
    <w:rPr>
      <w:sz w:val="20"/>
      <w:szCs w:val="20"/>
    </w:rPr>
  </w:style>
  <w:style w:type="character" w:customStyle="1" w:styleId="FootnoteTextChar">
    <w:name w:val="Footnote Text Char"/>
    <w:basedOn w:val="DefaultParagraphFont"/>
    <w:link w:val="FootnoteText"/>
    <w:uiPriority w:val="99"/>
    <w:semiHidden/>
    <w:rsid w:val="00575CDA"/>
    <w:rPr>
      <w:rFonts w:ascii="Times New Roman" w:eastAsia="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575CDA"/>
    <w:rPr>
      <w:vertAlign w:val="superscript"/>
    </w:rPr>
  </w:style>
  <w:style w:type="table" w:styleId="TableGrid">
    <w:name w:val="Table Grid"/>
    <w:basedOn w:val="TableNormal"/>
    <w:uiPriority w:val="39"/>
    <w:rsid w:val="00B57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233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303"/>
    <w:rPr>
      <w:rFonts w:ascii="Segoe UI" w:eastAsia="Times New Roman" w:hAnsi="Segoe UI" w:cs="Segoe UI"/>
      <w:sz w:val="18"/>
      <w:szCs w:val="18"/>
      <w:lang w:val="en-GB" w:eastAsia="en-GB"/>
    </w:rPr>
  </w:style>
  <w:style w:type="paragraph" w:styleId="Revision">
    <w:name w:val="Revision"/>
    <w:hidden/>
    <w:uiPriority w:val="99"/>
    <w:semiHidden/>
    <w:rsid w:val="007177E2"/>
    <w:pPr>
      <w:spacing w:after="0" w:line="240" w:lineRule="auto"/>
    </w:pPr>
    <w:rPr>
      <w:rFonts w:ascii="Times New Roman" w:eastAsia="Times New Roman" w:hAnsi="Times New Roman" w:cs="Times New Roman"/>
      <w:sz w:val="24"/>
      <w:szCs w:val="24"/>
      <w:lang w:val="en-GB" w:eastAsia="en-GB"/>
    </w:rPr>
  </w:style>
  <w:style w:type="character" w:customStyle="1" w:styleId="Heading1Char">
    <w:name w:val="Heading 1 Char"/>
    <w:basedOn w:val="DefaultParagraphFont"/>
    <w:link w:val="Heading1"/>
    <w:uiPriority w:val="9"/>
    <w:rsid w:val="00602573"/>
    <w:rPr>
      <w:rFonts w:asciiTheme="majorHAnsi" w:eastAsiaTheme="majorEastAsia" w:hAnsiTheme="majorHAnsi" w:cstheme="majorBidi"/>
      <w:color w:val="2E74B5" w:themeColor="accent1" w:themeShade="BF"/>
      <w:sz w:val="32"/>
      <w:szCs w:val="32"/>
      <w:lang w:val="en-GB" w:eastAsia="en-GB"/>
    </w:rPr>
  </w:style>
  <w:style w:type="character" w:customStyle="1" w:styleId="Heading2Char">
    <w:name w:val="Heading 2 Char"/>
    <w:basedOn w:val="DefaultParagraphFont"/>
    <w:link w:val="Heading2"/>
    <w:uiPriority w:val="9"/>
    <w:rsid w:val="00602573"/>
    <w:rPr>
      <w:rFonts w:asciiTheme="majorHAnsi" w:eastAsiaTheme="majorEastAsia" w:hAnsiTheme="majorHAnsi" w:cstheme="majorBidi"/>
      <w:color w:val="2E74B5" w:themeColor="accent1" w:themeShade="BF"/>
      <w:sz w:val="26"/>
      <w:szCs w:val="26"/>
      <w:lang w:val="en-GB" w:eastAsia="en-GB"/>
    </w:rPr>
  </w:style>
  <w:style w:type="character" w:styleId="CommentReference">
    <w:name w:val="annotation reference"/>
    <w:basedOn w:val="DefaultParagraphFont"/>
    <w:uiPriority w:val="99"/>
    <w:semiHidden/>
    <w:unhideWhenUsed/>
    <w:rsid w:val="00DA3ADB"/>
    <w:rPr>
      <w:sz w:val="16"/>
      <w:szCs w:val="16"/>
    </w:rPr>
  </w:style>
  <w:style w:type="paragraph" w:styleId="CommentText">
    <w:name w:val="annotation text"/>
    <w:basedOn w:val="Normal"/>
    <w:link w:val="CommentTextChar"/>
    <w:uiPriority w:val="99"/>
    <w:semiHidden/>
    <w:unhideWhenUsed/>
    <w:rsid w:val="00DA3ADB"/>
    <w:rPr>
      <w:sz w:val="20"/>
      <w:szCs w:val="20"/>
    </w:rPr>
  </w:style>
  <w:style w:type="character" w:customStyle="1" w:styleId="CommentTextChar">
    <w:name w:val="Comment Text Char"/>
    <w:basedOn w:val="DefaultParagraphFont"/>
    <w:link w:val="CommentText"/>
    <w:uiPriority w:val="99"/>
    <w:semiHidden/>
    <w:rsid w:val="00DA3AD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DA3ADB"/>
    <w:rPr>
      <w:b/>
      <w:bCs/>
    </w:rPr>
  </w:style>
  <w:style w:type="character" w:customStyle="1" w:styleId="CommentSubjectChar">
    <w:name w:val="Comment Subject Char"/>
    <w:basedOn w:val="CommentTextChar"/>
    <w:link w:val="CommentSubject"/>
    <w:uiPriority w:val="99"/>
    <w:semiHidden/>
    <w:rsid w:val="00DA3ADB"/>
    <w:rPr>
      <w:rFonts w:ascii="Times New Roman" w:eastAsia="Times New Roman" w:hAnsi="Times New Roman" w:cs="Times New Roman"/>
      <w:b/>
      <w:bCs/>
      <w:sz w:val="20"/>
      <w:szCs w:val="20"/>
      <w:lang w:val="en-GB" w:eastAsia="en-GB"/>
    </w:rPr>
  </w:style>
  <w:style w:type="character" w:styleId="PlaceholderText">
    <w:name w:val="Placeholder Text"/>
    <w:basedOn w:val="DefaultParagraphFont"/>
    <w:uiPriority w:val="99"/>
    <w:semiHidden/>
    <w:rsid w:val="006E3CC5"/>
    <w:rPr>
      <w:color w:val="808080"/>
    </w:rPr>
  </w:style>
  <w:style w:type="character" w:styleId="FollowedHyperlink">
    <w:name w:val="FollowedHyperlink"/>
    <w:basedOn w:val="DefaultParagraphFont"/>
    <w:uiPriority w:val="99"/>
    <w:semiHidden/>
    <w:unhideWhenUsed/>
    <w:rsid w:val="00AE68E8"/>
    <w:rPr>
      <w:color w:val="954F72" w:themeColor="followedHyperlink"/>
      <w:u w:val="single"/>
    </w:rPr>
  </w:style>
  <w:style w:type="paragraph" w:styleId="ListParagraph">
    <w:name w:val="List Paragraph"/>
    <w:basedOn w:val="Normal"/>
    <w:uiPriority w:val="34"/>
    <w:qFormat/>
    <w:rsid w:val="00F50875"/>
    <w:pPr>
      <w:ind w:left="720"/>
      <w:contextualSpacing/>
    </w:pPr>
  </w:style>
  <w:style w:type="paragraph" w:styleId="NormalWeb">
    <w:name w:val="Normal (Web)"/>
    <w:basedOn w:val="Normal"/>
    <w:uiPriority w:val="99"/>
    <w:semiHidden/>
    <w:unhideWhenUsed/>
    <w:rsid w:val="008D3B83"/>
    <w:pPr>
      <w:spacing w:before="100" w:beforeAutospacing="1" w:after="100" w:afterAutospacing="1"/>
    </w:pPr>
    <w:rPr>
      <w:rFonts w:eastAsiaTheme="minorEastAsia"/>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42514">
      <w:bodyDiv w:val="1"/>
      <w:marLeft w:val="0"/>
      <w:marRight w:val="0"/>
      <w:marTop w:val="0"/>
      <w:marBottom w:val="0"/>
      <w:divBdr>
        <w:top w:val="none" w:sz="0" w:space="0" w:color="auto"/>
        <w:left w:val="none" w:sz="0" w:space="0" w:color="auto"/>
        <w:bottom w:val="none" w:sz="0" w:space="0" w:color="auto"/>
        <w:right w:val="none" w:sz="0" w:space="0" w:color="auto"/>
      </w:divBdr>
    </w:div>
    <w:div w:id="854341919">
      <w:bodyDiv w:val="1"/>
      <w:marLeft w:val="0"/>
      <w:marRight w:val="0"/>
      <w:marTop w:val="0"/>
      <w:marBottom w:val="0"/>
      <w:divBdr>
        <w:top w:val="none" w:sz="0" w:space="0" w:color="auto"/>
        <w:left w:val="none" w:sz="0" w:space="0" w:color="auto"/>
        <w:bottom w:val="none" w:sz="0" w:space="0" w:color="auto"/>
        <w:right w:val="none" w:sz="0" w:space="0" w:color="auto"/>
      </w:divBdr>
    </w:div>
    <w:div w:id="89569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ingle-market-economy.ec.europa.eu/single-market/public-procurement/foreign-subsidies-regulation_e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ur-lex.europa.eu/legal-content/EN/TXT/?uri=uriserv:OJ.L_.2023.177.01.0001.01.E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E2A1FBDE91491DB845324296EB871C"/>
        <w:category>
          <w:name w:val="General"/>
          <w:gallery w:val="placeholder"/>
        </w:category>
        <w:types>
          <w:type w:val="bbPlcHdr"/>
        </w:types>
        <w:behaviors>
          <w:behavior w:val="content"/>
        </w:behaviors>
        <w:guid w:val="{0BB62F85-A588-4C45-90BB-845A3BB618AB}"/>
      </w:docPartPr>
      <w:docPartBody>
        <w:p w:rsidR="009200FE" w:rsidRDefault="007B709D" w:rsidP="007B709D">
          <w:pPr>
            <w:pStyle w:val="C8E2A1FBDE91491DB845324296EB871C"/>
          </w:pPr>
          <w:r w:rsidRPr="00F6380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09D"/>
    <w:rsid w:val="00055226"/>
    <w:rsid w:val="007B709D"/>
    <w:rsid w:val="00812423"/>
    <w:rsid w:val="008F5DDC"/>
    <w:rsid w:val="009200FE"/>
    <w:rsid w:val="00AD4A84"/>
    <w:rsid w:val="00B258BF"/>
    <w:rsid w:val="00BA69F4"/>
    <w:rsid w:val="00FC78D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709D"/>
    <w:rPr>
      <w:color w:val="808080"/>
    </w:rPr>
  </w:style>
  <w:style w:type="paragraph" w:customStyle="1" w:styleId="C8E2A1FBDE91491DB845324296EB871C">
    <w:name w:val="C8E2A1FBDE91491DB845324296EB871C"/>
    <w:rsid w:val="007B70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585A9A-6395-44FD-BF16-611FF7D411AE}">
  <ds:schemaRefs>
    <ds:schemaRef ds:uri="http://schemas.microsoft.com/sharepoint/v3/contenttype/forms"/>
  </ds:schemaRefs>
</ds:datastoreItem>
</file>

<file path=customXml/itemProps2.xml><?xml version="1.0" encoding="utf-8"?>
<ds:datastoreItem xmlns:ds="http://schemas.openxmlformats.org/officeDocument/2006/customXml" ds:itemID="{81BF7557-485E-4C83-87E6-68936117D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861ECF-F42D-4880-BB0D-79A24839B5E0}">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909</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2026-06-30T13:47:00Z</dcterms:created>
  <dcterms:modified xsi:type="dcterms:W3CDTF">2026-06-30T13:48:00Z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